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DIETITIANS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81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DIETITIANS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82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DIETITIANS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83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DIETITIANS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84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LICENSURE OF DIETITIANS</w:t>
      </w:r>
    </w:p>
    <w:p>
      <w:pPr>
        <w:spacing w:before="0" w:after="0"/>
        <w:ind w:left="120"/>
        <w:jc w:val="center"/>
      </w:pPr>
      <w:r>
        <w:rPr>
          <w:rFonts w:ascii="Times New Roman" w:hAnsi="Times New Roman"/>
          <w:b w:val="false"/>
          <w:i w:val="false"/>
          <w:color w:val="000000"/>
          <w:sz w:val="14"/>
        </w:rPr>
        <w:t>[Prior to 6/26/02, see 645—Ch 80]</w:t>
      </w:r>
    </w:p>
    <w:p>
      <w:pPr>
        <w:spacing w:before="0" w:after="0"/>
        <w:ind w:left="120"/>
        <w:jc w:val="both"/>
      </w:pPr>
      <w:r>
        <w:rPr>
          <w:rFonts w:ascii="Times New Roman" w:hAnsi="Times New Roman"/>
          <w:b/>
          <w:i w:val="false"/>
          <w:color w:val="000000"/>
          <w:sz w:val="22"/>
        </w:rPr>
        <w:t>645—81.1</w:t>
      </w:r>
      <w:r>
        <w:rPr>
          <w:rFonts w:ascii="Times New Roman" w:hAnsi="Times New Roman"/>
          <w:b/>
          <w:i w:val="false"/>
          <w:color w:val="000000"/>
          <w:sz w:val="22"/>
        </w:rPr>
        <w:t xml:space="preserve">(152A)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dietetics.</w:t>
      </w:r>
    </w:p>
    <w:p>
      <w:pPr>
        <w:spacing w:before="0" w:after="0"/>
        <w:ind w:left="120"/>
        <w:jc w:val="both"/>
      </w:pPr>
      <w:r>
        <w:rPr>
          <w:rFonts w:ascii="Times New Roman" w:hAnsi="Times New Roman"/>
          <w:b w:val="false"/>
          <w:i/>
          <w:color w:val="000000"/>
          <w:sz w:val="22"/>
        </w:rPr>
        <w:t xml:space="preserve">“Consultation” </w:t>
      </w:r>
      <w:r>
        <w:rPr>
          <w:rFonts w:ascii="Times New Roman" w:hAnsi="Times New Roman"/>
          <w:b w:val="false"/>
          <w:i w:val="false"/>
          <w:color w:val="000000"/>
          <w:sz w:val="22"/>
        </w:rPr>
        <w:t>means the practice of providing professional advice to another dietitian or other professional in a particular case and for a limited time, in affiliation with, and at the request of, a dietitian licensed in this state.</w:t>
      </w:r>
    </w:p>
    <w:p>
      <w:pPr>
        <w:spacing w:before="0" w:after="0"/>
        <w:ind w:left="120"/>
        <w:jc w:val="both"/>
      </w:pPr>
      <w:r>
        <w:rPr>
          <w:rFonts w:ascii="Times New Roman" w:hAnsi="Times New Roman"/>
          <w:b w:val="false"/>
          <w:i/>
          <w:color w:val="000000"/>
          <w:sz w:val="22"/>
        </w:rPr>
        <w:t xml:space="preserve">“Dietetics” </w:t>
      </w:r>
      <w:r>
        <w:rPr>
          <w:rFonts w:ascii="Times New Roman" w:hAnsi="Times New Roman"/>
          <w:b w:val="false"/>
          <w:i w:val="false"/>
          <w:color w:val="000000"/>
          <w:sz w:val="22"/>
        </w:rPr>
        <w:t>means the integration and application of principles derived from the sciences of nutrition, biochemistry, physiology, food management and from behavioral and social sciences to achieve and maintain an individual’s health.</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dietitian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following initial licensure.</w:t>
      </w:r>
    </w:p>
    <w:p>
      <w:pPr>
        <w:spacing w:before="0" w:after="0"/>
        <w:ind w:left="120"/>
        <w:jc w:val="both"/>
      </w:pPr>
      <w:r>
        <w:rPr>
          <w:rFonts w:ascii="Times New Roman" w:hAnsi="Times New Roman"/>
          <w:b w:val="false"/>
          <w:i/>
          <w:color w:val="000000"/>
          <w:sz w:val="22"/>
        </w:rPr>
        <w:t xml:space="preserve">“Nutrition assessment” </w:t>
      </w:r>
      <w:r>
        <w:rPr>
          <w:rFonts w:ascii="Times New Roman" w:hAnsi="Times New Roman"/>
          <w:b w:val="false"/>
          <w:i w:val="false"/>
          <w:color w:val="000000"/>
          <w:sz w:val="22"/>
        </w:rPr>
        <w:t>means the evaluation of the nutrition needs of individuals and groups based upon appropriate biochemical, anthropometric, physical, and dietary data to determine nutrient needs and to recommend appropriate nutritional intake, including enteral and parenteral nutrition.</w:t>
      </w:r>
    </w:p>
    <w:p>
      <w:pPr>
        <w:spacing w:before="0" w:after="0"/>
        <w:ind w:left="120"/>
        <w:jc w:val="both"/>
      </w:pPr>
      <w:r>
        <w:rPr>
          <w:rFonts w:ascii="Times New Roman" w:hAnsi="Times New Roman"/>
          <w:b w:val="false"/>
          <w:i/>
          <w:color w:val="000000"/>
          <w:sz w:val="22"/>
        </w:rPr>
        <w:t xml:space="preserve">“Nutrition counseling” </w:t>
      </w:r>
      <w:r>
        <w:rPr>
          <w:rFonts w:ascii="Times New Roman" w:hAnsi="Times New Roman"/>
          <w:b w:val="false"/>
          <w:i w:val="false"/>
          <w:color w:val="000000"/>
          <w:sz w:val="22"/>
        </w:rPr>
        <w:t>means advising and assisting individuals or groups, with consideration of cultural background and socioeconomic status, about appropriate nutritional intake by integrating information from the nutrition assessment with information about food and other sources of nutrients and meal preparation.</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645—81.8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dietetics to an applicant who is currently licensed in another state that has a mutual agreement with the Iowa board of dietetics to license persons who have the same or similar qualifications as those required in Iowa.</w:t>
      </w:r>
    </w:p>
    <w:p>
      <w:pPr>
        <w:spacing w:before="0" w:after="0"/>
        <w:ind w:left="120"/>
        <w:jc w:val="both"/>
      </w:pPr>
      <w:r>
        <w:rPr>
          <w:rFonts w:ascii="Times New Roman" w:hAnsi="Times New Roman"/>
          <w:b w:val="false"/>
          <w:i/>
          <w:color w:val="000000"/>
          <w:sz w:val="22"/>
        </w:rPr>
        <w:t xml:space="preserve">“Registered dietitian” </w:t>
      </w:r>
      <w:r>
        <w:rPr>
          <w:rFonts w:ascii="Times New Roman" w:hAnsi="Times New Roman"/>
          <w:b w:val="false"/>
          <w:i w:val="false"/>
          <w:color w:val="000000"/>
          <w:sz w:val="22"/>
        </w:rPr>
        <w:t>means a dietitian who has met the standards and qualifications of the Commission on Dietetic Registration, a member of the National Commission for Certifying Agencies.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color w:val="000000"/>
          <w:sz w:val="22"/>
        </w:rPr>
        <w:t xml:space="preserve">“Supervision of nonlicensees” </w:t>
      </w:r>
      <w:r>
        <w:rPr>
          <w:rFonts w:ascii="Times New Roman" w:hAnsi="Times New Roman"/>
          <w:b w:val="false"/>
          <w:i w:val="false"/>
          <w:color w:val="000000"/>
          <w:sz w:val="22"/>
        </w:rPr>
        <w:t>means any of the following: delegation of duties, direct oversight, or indirect oversight of employees or other persons not licensed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645—81.2</w:t>
      </w:r>
      <w:r>
        <w:rPr>
          <w:rFonts w:ascii="Times New Roman" w:hAnsi="Times New Roman"/>
          <w:b/>
          <w:i w:val="false"/>
          <w:color w:val="000000"/>
          <w:sz w:val="22"/>
        </w:rPr>
        <w:t xml:space="preserve">(152A) </w:t>
      </w:r>
      <w:r>
        <w:rPr>
          <w:rFonts w:ascii="Times New Roman" w:hAnsi="Times New Roman"/>
          <w:b/>
          <w:i w:val="false"/>
          <w:color w:val="000000"/>
          <w:sz w:val="22"/>
        </w:rPr>
        <w:t xml:space="preserve">Nutrition care. </w:t>
      </w:r>
      <w:r>
        <w:rPr>
          <w:rFonts w:ascii="Times New Roman" w:hAnsi="Times New Roman"/>
          <w:b w:val="false"/>
          <w:i w:val="false"/>
          <w:color w:val="000000"/>
          <w:sz w:val="22"/>
        </w:rPr>
        <w:t>The primary function of dietetic practice is the provision of nutrition care services that include:</w:t>
      </w:r>
    </w:p>
    <w:p>
      <w:pPr>
        <w:numPr>
          <w:ilvl w:val="0"/>
          <w:numId w:val="3"/>
        </w:numPr>
        <w:spacing w:before="0" w:after="0"/>
        <w:jc w:val="both"/>
      </w:pPr>
      <w:r>
        <w:rPr>
          <w:rFonts w:ascii="Times New Roman" w:hAnsi="Times New Roman"/>
          <w:b w:val="false"/>
          <w:i w:val="false"/>
          <w:color w:val="000000"/>
          <w:sz w:val="22"/>
        </w:rPr>
        <w:t>Assessing the nutrition needs of individuals and groups and determining resources and constraints in the practice setting.</w:t>
      </w:r>
    </w:p>
    <w:p>
      <w:pPr>
        <w:numPr>
          <w:ilvl w:val="0"/>
          <w:numId w:val="3"/>
        </w:numPr>
        <w:spacing w:before="0" w:after="0"/>
        <w:jc w:val="both"/>
      </w:pPr>
      <w:r>
        <w:rPr>
          <w:rFonts w:ascii="Times New Roman" w:hAnsi="Times New Roman"/>
          <w:b w:val="false"/>
          <w:i w:val="false"/>
          <w:color w:val="000000"/>
          <w:sz w:val="22"/>
        </w:rPr>
        <w:t>Establishing priorities, goals, and objectives that meet nutrition needs and are consistent with available resources and constraints.</w:t>
      </w:r>
    </w:p>
    <w:p>
      <w:pPr>
        <w:numPr>
          <w:ilvl w:val="0"/>
          <w:numId w:val="3"/>
        </w:numPr>
        <w:spacing w:before="0" w:after="0"/>
        <w:jc w:val="both"/>
      </w:pPr>
      <w:r>
        <w:rPr>
          <w:rFonts w:ascii="Times New Roman" w:hAnsi="Times New Roman"/>
          <w:b w:val="false"/>
          <w:i w:val="false"/>
          <w:color w:val="000000"/>
          <w:sz w:val="22"/>
        </w:rPr>
        <w:t>Providing nutrition counseling concerning health and disease.</w:t>
      </w:r>
    </w:p>
    <w:p>
      <w:pPr>
        <w:numPr>
          <w:ilvl w:val="0"/>
          <w:numId w:val="3"/>
        </w:numPr>
        <w:spacing w:before="0" w:after="0"/>
        <w:jc w:val="both"/>
      </w:pPr>
      <w:r>
        <w:rPr>
          <w:rFonts w:ascii="Times New Roman" w:hAnsi="Times New Roman"/>
          <w:b w:val="false"/>
          <w:i w:val="false"/>
          <w:color w:val="000000"/>
          <w:sz w:val="22"/>
        </w:rPr>
        <w:t>Developing, implementing, and managing nutrition care systems.</w:t>
      </w:r>
    </w:p>
    <w:p>
      <w:pPr>
        <w:numPr>
          <w:ilvl w:val="0"/>
          <w:numId w:val="3"/>
        </w:numPr>
        <w:spacing w:before="0" w:after="0"/>
        <w:jc w:val="both"/>
      </w:pPr>
      <w:r>
        <w:rPr>
          <w:rFonts w:ascii="Times New Roman" w:hAnsi="Times New Roman"/>
          <w:b w:val="false"/>
          <w:i w:val="false"/>
          <w:color w:val="000000"/>
          <w:sz w:val="22"/>
        </w:rPr>
        <w:t>Evaluating, making changes in, and maintaining appropriate standards of quality in food and nutrition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645—81.3</w:t>
      </w:r>
      <w:r>
        <w:rPr>
          <w:rFonts w:ascii="Times New Roman" w:hAnsi="Times New Roman"/>
          <w:b/>
          <w:i w:val="false"/>
          <w:color w:val="000000"/>
          <w:sz w:val="22"/>
        </w:rPr>
        <w:t xml:space="preserve">(152A)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apply to licensure:</w:t>
      </w:r>
    </w:p>
    <w:p>
      <w:pPr>
        <w:spacing w:before="0" w:after="0"/>
        <w:ind w:left="120"/>
        <w:jc w:val="both"/>
      </w:pP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completed online application for licensure and pay the nonrefundable licensure fee specified in rule </w:t>
      </w:r>
      <w:hyperlink r:id="rId6">
        <w:r>
          <w:rPr>
            <w:rStyle w:val="Hyperlink"/>
            <w:rFonts w:ascii="Times New Roman" w:hAnsi="Times New Roman"/>
            <w:b w:val="false"/>
            <w:i w:val="false"/>
            <w:color w:val="000000"/>
            <w:sz w:val="22"/>
          </w:rPr>
          <w:t>645—5.6</w:t>
        </w:r>
      </w:hyperlink>
      <w:r>
        <w:rPr>
          <w:rFonts w:ascii="Times New Roman" w:hAnsi="Times New Roman"/>
          <w:b w:val="false"/>
          <w:i w:val="false"/>
          <w:color w:val="000000"/>
          <w:sz w:val="22"/>
        </w:rPr>
        <w:t>(147,152A).</w:t>
      </w:r>
    </w:p>
    <w:p>
      <w:pPr>
        <w:spacing w:before="0" w:after="0"/>
        <w:ind w:left="120"/>
        <w:jc w:val="both"/>
      </w:pP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the applicant satisfactorily completes the registration examination for dietitians administered by the Commission on Dietetic Registration (CDR). The board will accept the passing score set by the CDR. Verification of satisfactory completion may be established by one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sends to the board a copy of the CDR registration card;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CDR sends an official letter directly to the board to verify that the applicant holds registration status;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CDR posts web-based verification that the applicant holds registration status.</w:t>
      </w:r>
    </w:p>
    <w:p>
      <w:pPr>
        <w:spacing w:before="0" w:after="0"/>
        <w:ind w:left="120"/>
        <w:jc w:val="both"/>
      </w:pP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is not required for dietitians who are in this state for the purpose of consultation, in accordance with rule </w:t>
      </w:r>
      <w:hyperlink r:id="rId7">
        <w:r>
          <w:rPr>
            <w:rStyle w:val="Hyperlink"/>
            <w:rFonts w:ascii="Times New Roman" w:hAnsi="Times New Roman"/>
            <w:b w:val="false"/>
            <w:i w:val="false"/>
            <w:color w:val="000000"/>
            <w:sz w:val="22"/>
          </w:rPr>
          <w:t>645—81.1</w:t>
        </w:r>
      </w:hyperlink>
      <w:r>
        <w:rPr>
          <w:rFonts w:ascii="Times New Roman" w:hAnsi="Times New Roman"/>
          <w:b w:val="false"/>
          <w:i w:val="false"/>
          <w:color w:val="000000"/>
          <w:sz w:val="22"/>
        </w:rPr>
        <w:t xml:space="preserve">(152A), when they are licensed in another state, U.S. territory, or country, or have received at least a baccalaureate degree in human nutrition from a U.S. regionally accredited college or university. </w:t>
      </w:r>
    </w:p>
    <w:p>
      <w:pPr>
        <w:spacing w:before="0" w:after="0"/>
        <w:ind w:left="120"/>
        <w:jc w:val="both"/>
      </w:pP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645—81.4</w:t>
      </w:r>
      <w:r>
        <w:rPr>
          <w:rFonts w:ascii="Times New Roman" w:hAnsi="Times New Roman"/>
          <w:b/>
          <w:i w:val="false"/>
          <w:color w:val="000000"/>
          <w:sz w:val="22"/>
        </w:rPr>
        <w:t xml:space="preserve">(152A)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The applicant shall possess a baccalaureate degree or postbaccalaureate degree from a U.S. regionally accredited college or university with a major course of study in human nutrition, food and nutrition, nutrition education, dietetics, or food systems management, or in an equivalent major course of study, that meets minimum academic requirements as established by the Accreditation Council for Education in Nutrition and Dietetics (ACEND) of the Academy of Nutrition and Dietetics (AND) and is approved by the board.</w:t>
      </w:r>
    </w:p>
    <w:p>
      <w:pPr>
        <w:spacing w:before="0" w:after="0"/>
        <w:ind w:left="120"/>
        <w:jc w:val="both"/>
      </w:pP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A foreign-trained dietitian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an official letter sent directly from the Commission on Dietetic Registration (CDR) to the board to verify that the applicant has met the minimum academic and didactic program requirements of the CDR. Foreign degree equivalency evaluation requirements of the ACEND of the AND are listed on the ACEND website,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evidence of meeting all other requirements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645—81.5</w:t>
      </w:r>
      <w:r>
        <w:rPr>
          <w:rFonts w:ascii="Times New Roman" w:hAnsi="Times New Roman"/>
          <w:b/>
          <w:i w:val="false"/>
          <w:color w:val="000000"/>
          <w:sz w:val="22"/>
        </w:rPr>
        <w:t xml:space="preserve">(152A) </w:t>
      </w:r>
      <w:r>
        <w:rPr>
          <w:rFonts w:ascii="Times New Roman" w:hAnsi="Times New Roman"/>
          <w:b/>
          <w:i w:val="false"/>
          <w:color w:val="000000"/>
          <w:sz w:val="22"/>
        </w:rPr>
        <w:t xml:space="preserve">Supervised experience. </w:t>
      </w:r>
      <w:r>
        <w:rPr>
          <w:rFonts w:ascii="Times New Roman" w:hAnsi="Times New Roman"/>
          <w:b w:val="false"/>
          <w:i w:val="false"/>
          <w:color w:val="000000"/>
          <w:sz w:val="22"/>
        </w:rPr>
        <w:t>The applicant shall complete an accredited competency-based supervised experience program approved by the ACEND of the 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645—81.6</w:t>
      </w:r>
      <w:r>
        <w:rPr>
          <w:rFonts w:ascii="Times New Roman" w:hAnsi="Times New Roman"/>
          <w:b/>
          <w:i w:val="false"/>
          <w:color w:val="000000"/>
          <w:sz w:val="22"/>
        </w:rPr>
        <w:t xml:space="preserve">(152A)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a licensed dietitian under the laws of another jurisdiction may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8">
        <w:r>
          <w:rPr>
            <w:rStyle w:val="Hyperlink"/>
            <w:rFonts w:ascii="Times New Roman" w:hAnsi="Times New Roman"/>
            <w:b w:val="false"/>
            <w:i w:val="false"/>
            <w:color w:val="000000"/>
            <w:sz w:val="22"/>
          </w:rPr>
          <w:t>645—81.4</w:t>
        </w:r>
      </w:hyperlink>
      <w:r>
        <w:rPr>
          <w:rFonts w:ascii="Times New Roman" w:hAnsi="Times New Roman"/>
          <w:b w:val="false"/>
          <w:i w:val="false"/>
          <w:color w:val="000000"/>
          <w:sz w:val="22"/>
        </w:rPr>
        <w:t>(152A).</w:t>
      </w:r>
    </w:p>
    <w:p>
      <w:pPr>
        <w:spacing w:before="0" w:after="0"/>
        <w:ind w:left="120"/>
        <w:jc w:val="both"/>
      </w:pP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license(s) from every jurisdiction in which the applicant has been licensed, sent directly from the jurisdiction(s) to the board office.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645—81.7</w:t>
      </w:r>
      <w:r>
        <w:rPr>
          <w:rFonts w:ascii="Times New Roman" w:hAnsi="Times New Roman"/>
          <w:b/>
          <w:i w:val="false"/>
          <w:color w:val="000000"/>
          <w:sz w:val="22"/>
        </w:rPr>
        <w:t xml:space="preserve">(152A)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begins on the sixteenth day of the licensee’s birth month and ends on the fifteenth day of the licensee’s birth month two years later. The licensee is responsible for renewing the license prior to its expiration.</w:t>
      </w:r>
    </w:p>
    <w:p>
      <w:pPr>
        <w:spacing w:before="0" w:after="0"/>
        <w:ind w:left="120"/>
        <w:jc w:val="both"/>
      </w:pP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license issued by the board may be valid for an 18- to 29-month period. When an initial license is renewed, it will be placed on a two-year renewal period identified in subrule </w:t>
      </w:r>
      <w:hyperlink r:id="rId9">
        <w:r>
          <w:rPr>
            <w:rStyle w:val="Hyperlink"/>
            <w:rFonts w:ascii="Times New Roman" w:hAnsi="Times New Roman"/>
            <w:b w:val="false"/>
            <w:i w:val="false"/>
            <w:color w:val="000000"/>
            <w:sz w:val="22"/>
          </w:rPr>
          <w:t>81.9(1)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81.7(3)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0">
        <w:r>
          <w:rPr>
            <w:rStyle w:val="Hyperlink"/>
            <w:rFonts w:ascii="Times New Roman" w:hAnsi="Times New Roman"/>
            <w:b w:val="false"/>
            <w:i w:val="false"/>
            <w:color w:val="000000"/>
            <w:sz w:val="22"/>
          </w:rPr>
          <w:t>645—82.2</w:t>
        </w:r>
      </w:hyperlink>
      <w:r>
        <w:rPr>
          <w:rFonts w:ascii="Times New Roman" w:hAnsi="Times New Roman"/>
          <w:b w:val="false"/>
          <w:i w:val="false"/>
          <w:color w:val="000000"/>
          <w:sz w:val="22"/>
        </w:rPr>
        <w:t xml:space="preserve">(152A) and the mandatory reporting requirements of subrule </w:t>
      </w:r>
      <w:hyperlink r:id="rId11">
        <w:r>
          <w:rPr>
            <w:rStyle w:val="Hyperlink"/>
            <w:rFonts w:ascii="Times New Roman" w:hAnsi="Times New Roman"/>
            <w:b w:val="false"/>
            <w:i w:val="false"/>
            <w:color w:val="000000"/>
            <w:sz w:val="22"/>
          </w:rPr>
          <w:t>81.9(4)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81.7(4)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will complete the applicable department of health and human services training relating to the identification and reporting of child and dependent adult abuse as required by Iowa Code section </w:t>
      </w:r>
      <w:hyperlink r:id="rId12">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Written documentation of training completion should be maintained for three years.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 for mandatory training for identifying and reporting child and dependent adult abuse is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13">
        <w:r>
          <w:rPr>
            <w:rStyle w:val="Hyperlink"/>
            <w:rFonts w:ascii="Times New Roman" w:hAnsi="Times New Roman"/>
            <w:b w:val="false"/>
            <w:i w:val="false"/>
            <w:color w:val="000000"/>
            <w:sz w:val="22"/>
          </w:rPr>
          <w:t>645—4.14</w:t>
        </w:r>
      </w:hyperlink>
      <w:r>
        <w:rPr>
          <w:rFonts w:ascii="Times New Roman" w:hAnsi="Times New Roman"/>
          <w:b w:val="false"/>
          <w:i w:val="false"/>
          <w:color w:val="000000"/>
          <w:sz w:val="22"/>
        </w:rPr>
        <w:t>(272C).</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paragraphs </w:t>
      </w:r>
      <w:hyperlink r:id="rId14">
        <w:r>
          <w:rPr>
            <w:rStyle w:val="Hyperlink"/>
            <w:rFonts w:ascii="Times New Roman" w:hAnsi="Times New Roman"/>
            <w:b w:val="false"/>
            <w:i w:val="false"/>
            <w:color w:val="000000"/>
            <w:sz w:val="22"/>
          </w:rPr>
          <w:t>81.9(4)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81.7(5)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a two-year license will be administratively issued. In the event the board receives adverse information on the renewal application, the renewal license will be issued but the board may refer the adverse information for further consideration or disciplinary investigation.</w:t>
      </w:r>
    </w:p>
    <w:p>
      <w:pPr>
        <w:spacing w:before="0" w:after="0"/>
        <w:ind w:left="120"/>
        <w:jc w:val="both"/>
      </w:pPr>
      <w:r>
        <w:rPr>
          <w:rFonts w:ascii="Times New Roman" w:hAnsi="Times New Roman"/>
          <w:b/>
          <w:i w:val="false"/>
          <w:color w:val="000000"/>
          <w:sz w:val="22"/>
        </w:rPr>
        <w:t>81.7(6)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i w:val="false"/>
          <w:color w:val="000000"/>
          <w:sz w:val="22"/>
        </w:rPr>
        <w:t>81.7(7)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5">
        <w:r>
          <w:rPr>
            <w:rStyle w:val="Hyperlink"/>
            <w:rFonts w:ascii="Times New Roman" w:hAnsi="Times New Roman"/>
            <w:b w:val="false"/>
            <w:i w:val="false"/>
            <w:color w:val="000000"/>
            <w:sz w:val="22"/>
          </w:rPr>
          <w:t>645—subrule 5.6(3)</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i w:val="false"/>
          <w:color w:val="000000"/>
          <w:sz w:val="22"/>
        </w:rPr>
        <w:t>81.7(8)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as a dietitian in Iowa until the license is reactivated. A licensee who practices as a dietitian in the state of Iowa with an inactive license may be subject to disciplinary action by the board, injunctive action pursuant to Iowa Code section </w:t>
      </w:r>
      <w:hyperlink r:id="rId16">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7">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i w:val="false"/>
          <w:color w:val="000000"/>
          <w:sz w:val="22"/>
        </w:rPr>
        <w:t>81.7(9)</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a reactivated license. A licensee who reactivates the license in accordance with rule </w:t>
      </w:r>
      <w:hyperlink r:id="rId18">
        <w:r>
          <w:rPr>
            <w:rStyle w:val="Hyperlink"/>
            <w:rFonts w:ascii="Times New Roman" w:hAnsi="Times New Roman"/>
            <w:b w:val="false"/>
            <w:i w:val="false"/>
            <w:color w:val="000000"/>
            <w:sz w:val="22"/>
          </w:rPr>
          <w:t>645—81.8</w:t>
        </w:r>
      </w:hyperlink>
      <w:r>
        <w:rPr>
          <w:rFonts w:ascii="Times New Roman" w:hAnsi="Times New Roman"/>
          <w:b w:val="false"/>
          <w:i w:val="false"/>
          <w:color w:val="000000"/>
          <w:sz w:val="22"/>
        </w:rPr>
        <w:t>(17A,147,272C) will not be required to renew the license until the next renewal two years later if the license is reactivated within six months prior to the license renewal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645—81.8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reactivation application and pay the reactivation fee as specified in </w:t>
      </w:r>
      <w:hyperlink r:id="rId19">
        <w:r>
          <w:rPr>
            <w:rStyle w:val="Hyperlink"/>
            <w:rFonts w:ascii="Times New Roman" w:hAnsi="Times New Roman"/>
            <w:b w:val="false"/>
            <w:i w:val="false"/>
            <w:color w:val="000000"/>
            <w:sz w:val="22"/>
          </w:rPr>
          <w:t>645—Chapter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dietetics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30 hours of continuing education within two years of the application for reactivation.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60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645—81.9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0">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and must apply for and be granted reactivation of the license in accordance with rule </w:t>
      </w:r>
      <w:hyperlink r:id="rId21">
        <w:r>
          <w:rPr>
            <w:rStyle w:val="Hyperlink"/>
            <w:rFonts w:ascii="Times New Roman" w:hAnsi="Times New Roman"/>
            <w:b w:val="false"/>
            <w:i w:val="false"/>
            <w:color w:val="000000"/>
            <w:sz w:val="22"/>
          </w:rPr>
          <w:t>645—81.8</w:t>
        </w:r>
      </w:hyperlink>
      <w:r>
        <w:rPr>
          <w:rFonts w:ascii="Times New Roman" w:hAnsi="Times New Roman"/>
          <w:b w:val="false"/>
          <w:i w:val="false"/>
          <w:color w:val="000000"/>
          <w:sz w:val="22"/>
        </w:rPr>
        <w:t>(17A,147,272C) prior to practicing dietetics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645—81.10</w:t>
      </w:r>
      <w:r>
        <w:rPr>
          <w:rFonts w:ascii="Times New Roman" w:hAnsi="Times New Roman"/>
          <w:b/>
          <w:i w:val="false"/>
          <w:color w:val="000000"/>
          <w:sz w:val="22"/>
        </w:rPr>
        <w:t xml:space="preserve">(152A,272C)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dietetic services to an individual or a group utilizing a telehealth visit if the dietetic services are provided in accordance with all the requirements of this chapter.</w:t>
      </w:r>
    </w:p>
    <w:p>
      <w:pPr>
        <w:spacing w:before="0" w:after="0"/>
        <w:ind w:left="120"/>
        <w:jc w:val="both"/>
      </w:pPr>
      <w:r>
        <w:rPr>
          <w:rFonts w:ascii="Times New Roman" w:hAnsi="Times New Roman"/>
          <w:b/>
          <w:i w:val="false"/>
          <w:color w:val="000000"/>
          <w:sz w:val="22"/>
        </w:rPr>
        <w:t>81.10(1)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dietetic services by a licensee to an individual or a group using technology where the licensee and the individual or group are not at the same physical location for the therapy session.</w:t>
      </w:r>
    </w:p>
    <w:p>
      <w:pPr>
        <w:spacing w:before="0" w:after="0"/>
        <w:ind w:left="120"/>
        <w:jc w:val="both"/>
      </w:pPr>
      <w:r>
        <w:rPr>
          <w:rFonts w:ascii="Times New Roman" w:hAnsi="Times New Roman"/>
          <w:b/>
          <w:i w:val="false"/>
          <w:color w:val="000000"/>
          <w:sz w:val="22"/>
        </w:rPr>
        <w:t>81.10(2)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engaged in a telehealth visit will utilize technology that is secure and, pursuant to the Health Insurance Portability and Accountability Act of 1996, Pub.L. 104-191, August 21, 1996, 110 Stat. 1936, and any amendments as of March 22, 2024, HIPAA-compliant and that includes, at a minimum, audio or video equipment or both that allows two-way real-time interactive communication between the licensee and the individual or group. A licensee may use non-real-time technologies to prepare for a session or to communicate with an individual or a group between sessions. </w:t>
      </w:r>
    </w:p>
    <w:p>
      <w:pPr>
        <w:spacing w:before="0" w:after="0"/>
        <w:ind w:left="120"/>
        <w:jc w:val="both"/>
      </w:pPr>
      <w:r>
        <w:rPr>
          <w:rFonts w:ascii="Times New Roman" w:hAnsi="Times New Roman"/>
          <w:b/>
          <w:i w:val="false"/>
          <w:color w:val="000000"/>
          <w:sz w:val="22"/>
        </w:rPr>
        <w:t>81.10(3)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will be held to the same standard of care as a licensee who provides in-person dietetic services. A licensee will not utilize a telehealth visit if the standard of care for the particular services cannot be met by using technology.</w:t>
      </w:r>
    </w:p>
    <w:p>
      <w:pPr>
        <w:spacing w:before="0" w:after="0"/>
        <w:ind w:left="120"/>
        <w:jc w:val="both"/>
      </w:pPr>
      <w:r>
        <w:rPr>
          <w:rFonts w:ascii="Times New Roman" w:hAnsi="Times New Roman"/>
          <w:b/>
          <w:i w:val="false"/>
          <w:color w:val="000000"/>
          <w:sz w:val="22"/>
        </w:rPr>
        <w:t>81.10(4)</w:t>
      </w:r>
      <w:r>
        <w:rPr>
          <w:rFonts w:ascii="Times New Roman" w:hAnsi="Times New Roman"/>
          <w:b w:val="false"/>
          <w:i w:val="false"/>
          <w:color w:val="000000"/>
          <w:sz w:val="22"/>
        </w:rPr>
        <w:t> </w:t>
      </w:r>
      <w:r>
        <w:rPr>
          <w:rFonts w:ascii="Times New Roman" w:hAnsi="Times New Roman"/>
          <w:b w:val="false"/>
          <w:i w:val="false"/>
          <w:color w:val="000000"/>
          <w:sz w:val="22"/>
        </w:rPr>
        <w:t>Any licensee who provides a telehealth visit to an individual or a group located in Iowa shall be licensed in Iowa.</w:t>
      </w:r>
    </w:p>
    <w:p>
      <w:pPr>
        <w:spacing w:before="0" w:after="0"/>
        <w:ind w:left="120"/>
        <w:jc w:val="both"/>
      </w:pPr>
      <w:r>
        <w:rPr>
          <w:rFonts w:ascii="Times New Roman" w:hAnsi="Times New Roman"/>
          <w:b/>
          <w:i w:val="false"/>
          <w:color w:val="000000"/>
          <w:sz w:val="22"/>
        </w:rPr>
        <w:t>81.10(5)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is to obtain informed consent from the individual or group specific to the services that will be provided in a telehealth visit. At a minimum, the informed consent shall specifically inform the individual or group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risks and limitations of the use of technology to provide dietetics services;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potential for unauthorized access to protected health information;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i w:val="false"/>
          <w:color w:val="000000"/>
          <w:sz w:val="22"/>
        </w:rPr>
        <w:t>81.10(6)</w:t>
      </w:r>
      <w:r>
        <w:rPr>
          <w:rFonts w:ascii="Times New Roman" w:hAnsi="Times New Roman"/>
          <w:b w:val="false"/>
          <w:i w:val="false"/>
          <w:color w:val="000000"/>
          <w:sz w:val="22"/>
        </w:rPr>
        <w:t> </w:t>
      </w:r>
      <w:r>
        <w:rPr>
          <w:rFonts w:ascii="Times New Roman" w:hAnsi="Times New Roman"/>
          <w:b w:val="false"/>
          <w:i w:val="false"/>
          <w:color w:val="000000"/>
          <w:sz w:val="22"/>
        </w:rPr>
        <w:t>A licensee will identify in the clinical record when dietetic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4/4/86—published 4/23/86, effective 4/4/86]</w:t>
      </w:r>
    </w:p>
    <w:p>
      <w:pPr>
        <w:spacing w:before="0" w:after="0"/>
        <w:ind w:left="120"/>
        <w:jc w:val="center"/>
      </w:pPr>
      <w:r>
        <w:rPr>
          <w:rFonts w:ascii="Times New Roman" w:hAnsi="Times New Roman"/>
          <w:b w:val="false"/>
          <w:i w:val="false"/>
          <w:color w:val="000000"/>
          <w:sz w:val="21"/>
        </w:rPr>
        <w:t>[Filed 2/17/87, Notice 10/8/86—published 3/11/87, effective 4/15/87]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10/27/88, Notice 8/24/88—published 11/16/88, effective 12/21/88]</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[Filed 5/11/90, Notice 4/4/90—published 5/30/90, effective 7/4/90]</w:t>
      </w:r>
    </w:p>
    <w:p>
      <w:pPr>
        <w:spacing w:before="0" w:after="0"/>
        <w:ind w:left="120"/>
        <w:jc w:val="center"/>
      </w:pPr>
      <w:r>
        <w:rPr>
          <w:rFonts w:ascii="Times New Roman" w:hAnsi="Times New Roman"/>
          <w:b w:val="false"/>
          <w:i w:val="false"/>
          <w:color w:val="000000"/>
          <w:sz w:val="21"/>
        </w:rPr>
        <w:t>[Filed 10/11/91, Notice 8/21/91—published 10/30/91, effective 12/4/91]</w:t>
      </w:r>
    </w:p>
    <w:p>
      <w:pPr>
        <w:spacing w:before="0" w:after="0"/>
        <w:ind w:left="120"/>
        <w:jc w:val="center"/>
      </w:pPr>
      <w:r>
        <w:rPr>
          <w:rFonts w:ascii="Times New Roman" w:hAnsi="Times New Roman"/>
          <w:b w:val="false"/>
          <w:i w:val="false"/>
          <w:color w:val="000000"/>
          <w:sz w:val="21"/>
        </w:rPr>
        <w:t>[Filed 4/23/92, Notice 3/4/92—published 5/13/92, effective 6/17/92]</w:t>
      </w:r>
    </w:p>
    <w:p>
      <w:pPr>
        <w:spacing w:before="0" w:after="0"/>
        <w:ind w:left="120"/>
        <w:jc w:val="center"/>
      </w:pPr>
      <w:r>
        <w:rPr>
          <w:rFonts w:ascii="Times New Roman" w:hAnsi="Times New Roman"/>
          <w:b w:val="false"/>
          <w:i w:val="false"/>
          <w:color w:val="000000"/>
          <w:sz w:val="21"/>
        </w:rPr>
        <w:t>[Filed emergency 7/6/92—published 7/22/92, effective 7/6/92]</w:t>
      </w:r>
    </w:p>
    <w:p>
      <w:pPr>
        <w:spacing w:before="0" w:after="0"/>
        <w:ind w:left="120"/>
        <w:jc w:val="center"/>
      </w:pPr>
      <w:r>
        <w:rPr>
          <w:rFonts w:ascii="Times New Roman" w:hAnsi="Times New Roman"/>
          <w:b w:val="false"/>
          <w:i w:val="false"/>
          <w:color w:val="000000"/>
          <w:sz w:val="21"/>
        </w:rPr>
        <w:t>[Filed 4/7/95, Notice 1/4/95—published 4/26/95, effective 5/31/95]</w:t>
      </w:r>
    </w:p>
    <w:p>
      <w:pPr>
        <w:spacing w:before="0" w:after="0"/>
        <w:ind w:left="120"/>
        <w:jc w:val="center"/>
      </w:pPr>
      <w:r>
        <w:rPr>
          <w:rFonts w:ascii="Times New Roman" w:hAnsi="Times New Roman"/>
          <w:b w:val="false"/>
          <w:i w:val="false"/>
          <w:color w:val="000000"/>
          <w:sz w:val="21"/>
        </w:rPr>
        <w:t>[Filed 11/25/98, Notice 10/21/98—published 12/16/98, effective 1/20/99]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12/23/99, Notice 10/6/99—published 1/12/00, effective 2/16/00]</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6/19/03, Notice 4/2/03—published 7/9/03, effective 8/13/03]</w:t>
      </w:r>
    </w:p>
    <w:p>
      <w:pPr>
        <w:spacing w:before="0" w:after="0"/>
        <w:ind w:left="120"/>
        <w:jc w:val="center"/>
      </w:pPr>
      <w:r>
        <w:rPr>
          <w:rFonts w:ascii="Times New Roman" w:hAnsi="Times New Roman"/>
          <w:b w:val="false"/>
          <w:i w:val="false"/>
          <w:color w:val="000000"/>
          <w:sz w:val="21"/>
        </w:rPr>
        <w:t>[Filed 6/17/04, Notice 3/31/04—published 7/7/04, effective 8/11/04]</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1835C</w:t>
      </w:r>
      <w:r>
        <w:rPr>
          <w:rFonts w:ascii="Times New Roman" w:hAnsi="Times New Roman"/>
          <w:b w:val="false"/>
          <w:i w:val="false"/>
          <w:color w:val="000000"/>
          <w:sz w:val="21"/>
        </w:rPr>
        <w:t xml:space="preserve"> (Notice ARC 1728C,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5068C</w:t>
      </w:r>
      <w:r>
        <w:rPr>
          <w:rFonts w:ascii="Times New Roman" w:hAnsi="Times New Roman"/>
          <w:b w:val="false"/>
          <w:i w:val="false"/>
          <w:color w:val="000000"/>
          <w:sz w:val="21"/>
        </w:rPr>
        <w:t xml:space="preserve"> (Notice ARC 4935C,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5405C</w:t>
      </w:r>
      <w:r>
        <w:rPr>
          <w:rFonts w:ascii="Times New Roman" w:hAnsi="Times New Roman"/>
          <w:b w:val="false"/>
          <w:i w:val="false"/>
          <w:color w:val="000000"/>
          <w:sz w:val="21"/>
        </w:rPr>
        <w:t xml:space="preserve"> (Notice ARC 5156C, IAB 8/26/20)</w:t>
      </w:r>
      <w:r>
        <w:rPr>
          <w:rFonts w:ascii="Times New Roman" w:hAnsi="Times New Roman"/>
          <w:b w:val="false"/>
          <w:i w:val="false"/>
          <w:color w:val="000000"/>
          <w:sz w:val="21"/>
        </w:rPr>
        <w:t>, IAB 1/27/21, effective 3/3/21]</w:t>
      </w:r>
    </w:p>
    <w:p>
      <w:pPr>
        <w:spacing w:before="0" w:after="0"/>
        <w:ind w:left="120"/>
        <w:jc w:val="center"/>
      </w:pPr>
      <w:r>
        <w:rPr>
          <w:rFonts w:ascii="Times New Roman" w:hAnsi="Times New Roman"/>
          <w:b w:val="false"/>
          <w:i w:val="false"/>
          <w:color w:val="000000"/>
          <w:sz w:val="21"/>
        </w:rPr>
        <w:t>[Filed ARC 5774C</w:t>
      </w:r>
      <w:r>
        <w:rPr>
          <w:rFonts w:ascii="Times New Roman" w:hAnsi="Times New Roman"/>
          <w:b w:val="false"/>
          <w:i w:val="false"/>
          <w:color w:val="000000"/>
          <w:sz w:val="21"/>
        </w:rPr>
        <w:t xml:space="preserve"> (Notice ARC 5452C,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7002C</w:t>
      </w:r>
      <w:r>
        <w:rPr>
          <w:rFonts w:ascii="Times New Roman" w:hAnsi="Times New Roman"/>
          <w:b w:val="false"/>
          <w:i w:val="false"/>
          <w:color w:val="000000"/>
          <w:sz w:val="21"/>
        </w:rPr>
        <w:t xml:space="preserve"> (Notice ARC 6655C,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7925C</w:t>
      </w:r>
      <w:r>
        <w:rPr>
          <w:rFonts w:ascii="Times New Roman" w:hAnsi="Times New Roman"/>
          <w:b w:val="false"/>
          <w:i w:val="false"/>
          <w:color w:val="000000"/>
          <w:sz w:val="21"/>
        </w:rPr>
        <w:t xml:space="preserve"> (Notice ARC 7542C, IAB 1/24/24)</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81.8.pdf" Type="http://schemas.openxmlformats.org/officeDocument/2006/relationships/hyperlink" Id="rId4"/>
    <Relationship TargetMode="External" Target="https://www.legis.iowa.gov/docs/iac/rule/645.11.31.pdf" Type="http://schemas.openxmlformats.org/officeDocument/2006/relationships/hyperlink" Id="rId5"/>
    <Relationship TargetMode="External" Target="https://www.legis.iowa.gov/docs/iac/rule/645.5.6.pdf" Type="http://schemas.openxmlformats.org/officeDocument/2006/relationships/hyperlink" Id="rId6"/>
    <Relationship TargetMode="External" Target="https://www.legis.iowa.gov/docs/iac/rule/645.81.1.pdf" Type="http://schemas.openxmlformats.org/officeDocument/2006/relationships/hyperlink" Id="rId7"/>
    <Relationship TargetMode="External" Target="https://www.legis.iowa.gov/docs/iac/rule/645.81.4.pdf" Type="http://schemas.openxmlformats.org/officeDocument/2006/relationships/hyperlink" Id="rId8"/>
    <Relationship TargetMode="External" Target="https://www.legis.iowa.gov/docs/iac/rule/645.81.9.pdf" Type="http://schemas.openxmlformats.org/officeDocument/2006/relationships/hyperlink" Id="rId9"/>
    <Relationship TargetMode="External" Target="https://www.legis.iowa.gov/docs/iac/rule/645.82.2.pdf" Type="http://schemas.openxmlformats.org/officeDocument/2006/relationships/hyperlink" Id="rId10"/>
    <Relationship TargetMode="External" Target="https://www.legis.iowa.gov/docs/iac/rule/645.81.9.pdf" Type="http://schemas.openxmlformats.org/officeDocument/2006/relationships/hyperlink" Id="rId11"/>
    <Relationship TargetMode="External" Target="https://www.legis.iowa.gov/docs/ico/chapter/232.pdf" Type="http://schemas.openxmlformats.org/officeDocument/2006/relationships/hyperlink" Id="rId12"/>
    <Relationship TargetMode="External" Target="https://www.legis.iowa.gov/docs/iac/rule/645.4.14.pdf" Type="http://schemas.openxmlformats.org/officeDocument/2006/relationships/hyperlink" Id="rId13"/>
    <Relationship TargetMode="External" Target="https://www.legis.iowa.gov/docs/iac/rule/645.81.9.pdf" Type="http://schemas.openxmlformats.org/officeDocument/2006/relationships/hyperlink" Id="rId14"/>
    <Relationship TargetMode="External" Target="https://www.legis.iowa.gov/docs/iac/rule/645.5.6.pdf" Type="http://schemas.openxmlformats.org/officeDocument/2006/relationships/hyperlink" Id="rId15"/>
    <Relationship TargetMode="External" Target="https://www.legis.iowa.gov/docs/ico/chapter/147.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ac/rule/645.81.8.pdf" Type="http://schemas.openxmlformats.org/officeDocument/2006/relationships/hyperlink" Id="rId18"/>
    <Relationship TargetMode="External" Target="https://www.legis.iowa.gov/docs/iac/chapter/645.5.pdf" Type="http://schemas.openxmlformats.org/officeDocument/2006/relationships/hyperlink" Id="rId19"/>
    <Relationship TargetMode="External" Target="https://www.legis.iowa.gov/docs/iac/rule/645.11.31.pdf" Type="http://schemas.openxmlformats.org/officeDocument/2006/relationships/hyperlink" Id="rId20"/>
    <Relationship TargetMode="External" Target="https://www.legis.iowa.gov/docs/iac/rule/645.81.8.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47.pdf" Type="http://schemas.openxmlformats.org/officeDocument/2006/relationships/hyperlink" Id="rId23"/>
    <Relationship TargetMode="External" Target="https://www.legis.iowa.gov/docs/ico/chapter/152A.pdf" Type="http://schemas.openxmlformats.org/officeDocument/2006/relationships/hyperlink" Id="rId24"/>
    <Relationship TargetMode="External" Target="https://www.legis.iowa.gov/docs/ico/chapter/272C.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