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CHIROPRACTIC</w:t>
      </w:r>
    </w:p>
    <w:tbl>
      <w:tblPr>
        <w:tblW w:w="0" w:type="auto"/>
        <w:tblCellSpacing w:w="0" w:type="auto"/>
        <w:tblInd w:w="27" w:type="dxa"/>
        <w:tblBorders>
          <w:top w:val="none"/>
          <w:left w:val="none"/>
          <w:bottom w:val="none"/>
          <w:right w:val="none"/>
          <w:insideH w:val="none"/>
          <w:insideV w:val="none"/>
        </w:tblBorders>
      </w:tblPr>
      <w:tblGrid>
        <w:gridCol w:w="1536"/>
        <w:gridCol w:w="1536"/>
        <w:gridCol w:w="8064"/>
      </w:tblGrid>
      <w:tr>
        <w:trPr>
          <w:trHeight w:val="24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41</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LICENSURE OF CHIROPRACTIC PHYSICIANS</w:t>
            </w:r>
          </w:p>
        </w:tc>
      </w:tr>
      <w:tr>
        <w:trPr>
          <w:trHeight w:val="24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42</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COLLEGES FOR CHIROPRACTIC PHYSICIANS</w:t>
            </w:r>
          </w:p>
        </w:tc>
      </w:tr>
      <w:tr>
        <w:trPr>
          <w:trHeight w:val="24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43</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PRACTICE OF CHIROPRACTIC PHYSICIANS</w:t>
            </w:r>
          </w:p>
        </w:tc>
      </w:tr>
      <w:tr>
        <w:trPr>
          <w:trHeight w:val="24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44</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CONTINUING EDUCATION FOR CHIROPRACTIC PHYSICIANS</w:t>
            </w:r>
          </w:p>
        </w:tc>
      </w:tr>
      <w:tr>
        <w:trPr>
          <w:trHeight w:val="24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45</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DISCIPLINE FOR CHIROPRACTIC PHYSICIANS</w:t>
            </w:r>
          </w:p>
        </w:tc>
      </w:tr>
      <w:tr>
        <w:trPr>
          <w:trHeight w:val="24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46</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ADOPTION OF UNIFORM AND MODEL RULES</w:t>
            </w:r>
          </w:p>
        </w:tc>
      </w:tr>
    </w:tbl>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41</w:t>
      </w:r>
    </w:p>
    <w:p>
      <w:pPr>
        <w:spacing w:before="0" w:after="0"/>
        <w:ind w:left="120"/>
        <w:jc w:val="center"/>
      </w:pPr>
      <w:r>
        <w:rPr>
          <w:rFonts w:ascii="Times New Roman" w:hAnsi="Times New Roman"/>
          <w:b w:val="false"/>
          <w:i w:val="false"/>
          <w:color w:val="000000"/>
          <w:sz w:val="21"/>
        </w:rPr>
        <w:t>LICENSURE OF CHIROPRACTIC PHYSICIANS</w:t>
      </w:r>
    </w:p>
    <w:p>
      <w:pPr>
        <w:spacing w:before="0" w:after="0"/>
        <w:ind w:left="120"/>
        <w:jc w:val="center"/>
      </w:pPr>
      <w:r>
        <w:rPr>
          <w:rFonts w:ascii="Times New Roman" w:hAnsi="Times New Roman"/>
          <w:b w:val="false"/>
          <w:i w:val="false"/>
          <w:color w:val="000000"/>
          <w:sz w:val="14"/>
        </w:rPr>
        <w:t>[Prior to 7/24/02, see 645—40.10(151) to 645—40.13(151), 645—40.15(151) and 645—40.16(151)]</w:t>
      </w:r>
    </w:p>
    <w:p>
      <w:pPr>
        <w:spacing w:before="0" w:after="0"/>
        <w:ind w:left="120"/>
        <w:jc w:val="both"/>
      </w:pPr>
      <w:r>
        <w:rPr>
          <w:rFonts w:ascii="Times New Roman" w:hAnsi="Times New Roman"/>
          <w:b/>
          <w:i w:val="false"/>
          <w:color w:val="000000"/>
          <w:sz w:val="22"/>
        </w:rPr>
        <w:t>645—41.1</w:t>
      </w:r>
      <w:r>
        <w:rPr>
          <w:rFonts w:ascii="Times New Roman" w:hAnsi="Times New Roman"/>
          <w:b/>
          <w:i w:val="false"/>
          <w:color w:val="000000"/>
          <w:sz w:val="22"/>
        </w:rPr>
        <w:t xml:space="preserve">(151)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will be applicable to the rules of the Iowa board of chiropractic:</w:t>
      </w:r>
    </w:p>
    <w:p>
      <w:pPr>
        <w:spacing w:before="0" w:after="0"/>
        <w:ind w:left="120"/>
        <w:jc w:val="both"/>
      </w:pP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color w:val="000000"/>
          <w:sz w:val="22"/>
        </w:rPr>
        <w:t xml:space="preserve">“Board” </w:t>
      </w:r>
      <w:r>
        <w:rPr>
          <w:rFonts w:ascii="Times New Roman" w:hAnsi="Times New Roman"/>
          <w:b w:val="false"/>
          <w:i w:val="false"/>
          <w:color w:val="000000"/>
          <w:sz w:val="22"/>
        </w:rPr>
        <w:t>means the Iowa board of chiropractic.</w:t>
      </w:r>
    </w:p>
    <w:p>
      <w:pPr>
        <w:spacing w:before="0" w:after="0"/>
        <w:ind w:left="120"/>
        <w:jc w:val="both"/>
      </w:pPr>
      <w:r>
        <w:rPr>
          <w:rFonts w:ascii="Times New Roman" w:hAnsi="Times New Roman"/>
          <w:b w:val="false"/>
          <w:i/>
          <w:color w:val="000000"/>
          <w:sz w:val="22"/>
        </w:rPr>
        <w:t xml:space="preserve">“Council on Chiropractic Education”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“CCE” </w:t>
      </w:r>
      <w:r>
        <w:rPr>
          <w:rFonts w:ascii="Times New Roman" w:hAnsi="Times New Roman"/>
          <w:b w:val="false"/>
          <w:i w:val="false"/>
          <w:color w:val="000000"/>
          <w:sz w:val="22"/>
        </w:rPr>
        <w:t xml:space="preserve">means the organization that establishes the Educational Standards of Chiropractic Colleges and Bylaws. </w:t>
      </w:r>
    </w:p>
    <w:p>
      <w:pPr>
        <w:spacing w:before="0" w:after="0"/>
        <w:ind w:left="120"/>
        <w:jc w:val="both"/>
      </w:pP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inspections, appeals, and licensing.</w:t>
      </w:r>
    </w:p>
    <w:p>
      <w:pPr>
        <w:spacing w:before="0" w:after="0"/>
        <w:ind w:left="120"/>
        <w:jc w:val="both"/>
      </w:pPr>
      <w:r>
        <w:rPr>
          <w:rFonts w:ascii="Times New Roman" w:hAnsi="Times New Roman"/>
          <w:b w:val="false"/>
          <w:i/>
          <w:color w:val="000000"/>
          <w:sz w:val="22"/>
        </w:rPr>
        <w:t xml:space="preserve">“Grace period” </w:t>
      </w:r>
      <w:r>
        <w:rPr>
          <w:rFonts w:ascii="Times New Roman" w:hAnsi="Times New Roman"/>
          <w:b w:val="false"/>
          <w:i w:val="false"/>
          <w:color w:val="000000"/>
          <w:sz w:val="22"/>
        </w:rPr>
        <w:t>means the 30-day period following expiration of a license when the license is still considered to be active. In order to renew a license during the grace period, a licensee is required to pay a late fee.</w:t>
      </w:r>
    </w:p>
    <w:p>
      <w:pPr>
        <w:spacing w:before="0" w:after="0"/>
        <w:ind w:left="120"/>
        <w:jc w:val="both"/>
      </w:pP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color w:val="000000"/>
          <w:sz w:val="22"/>
        </w:rPr>
        <w:t xml:space="preserve">“License” </w:t>
      </w:r>
      <w:r>
        <w:rPr>
          <w:rFonts w:ascii="Times New Roman" w:hAnsi="Times New Roman"/>
          <w:b w:val="false"/>
          <w:i w:val="false"/>
          <w:color w:val="000000"/>
          <w:sz w:val="22"/>
        </w:rPr>
        <w:t>means license to practice chiropractic in Iowa.</w:t>
      </w:r>
    </w:p>
    <w:p>
      <w:pPr>
        <w:spacing w:before="0" w:after="0"/>
        <w:ind w:left="120"/>
        <w:jc w:val="both"/>
      </w:pP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chiropractic physician in Iowa.</w:t>
      </w:r>
    </w:p>
    <w:p>
      <w:pPr>
        <w:spacing w:before="0" w:after="0"/>
        <w:ind w:left="120"/>
        <w:jc w:val="both"/>
      </w:pPr>
      <w:r>
        <w:rPr>
          <w:rFonts w:ascii="Times New Roman" w:hAnsi="Times New Roman"/>
          <w:b w:val="false"/>
          <w:i/>
          <w:color w:val="000000"/>
          <w:sz w:val="22"/>
        </w:rPr>
        <w:t xml:space="preserve">“License expiration date” </w:t>
      </w:r>
      <w:r>
        <w:rPr>
          <w:rFonts w:ascii="Times New Roman" w:hAnsi="Times New Roman"/>
          <w:b w:val="false"/>
          <w:i w:val="false"/>
          <w:color w:val="000000"/>
          <w:sz w:val="22"/>
        </w:rPr>
        <w:t>means June 30 of even-numbered years.</w:t>
      </w:r>
    </w:p>
    <w:p>
      <w:pPr>
        <w:spacing w:before="0" w:after="0"/>
        <w:ind w:left="120"/>
        <w:jc w:val="both"/>
      </w:pPr>
      <w:r>
        <w:rPr>
          <w:rFonts w:ascii="Times New Roman" w:hAnsi="Times New Roman"/>
          <w:b w:val="false"/>
          <w:i/>
          <w:color w:val="000000"/>
          <w:sz w:val="22"/>
        </w:rPr>
        <w:t xml:space="preserve">“Licensure by endorsement” </w:t>
      </w:r>
      <w:r>
        <w:rPr>
          <w:rFonts w:ascii="Times New Roman" w:hAnsi="Times New Roman"/>
          <w:b w:val="false"/>
          <w:i w:val="false"/>
          <w:color w:val="000000"/>
          <w:sz w:val="22"/>
        </w:rPr>
        <w:t>means the issuance of an Iowa license to practice chiropractic to an applicant who is or has been licensed in another state and meets the criteria for licensure in this state.</w:t>
      </w:r>
    </w:p>
    <w:p>
      <w:pPr>
        <w:spacing w:before="0" w:after="0"/>
        <w:ind w:left="120"/>
        <w:jc w:val="both"/>
      </w:pPr>
      <w:r>
        <w:rPr>
          <w:rFonts w:ascii="Times New Roman" w:hAnsi="Times New Roman"/>
          <w:b w:val="false"/>
          <w:i/>
          <w:color w:val="000000"/>
          <w:sz w:val="22"/>
        </w:rPr>
        <w:t xml:space="preserve">“NBCE” </w:t>
      </w:r>
      <w:r>
        <w:rPr>
          <w:rFonts w:ascii="Times New Roman" w:hAnsi="Times New Roman"/>
          <w:b w:val="false"/>
          <w:i w:val="false"/>
          <w:color w:val="000000"/>
          <w:sz w:val="22"/>
        </w:rPr>
        <w:t>means the National Board of Chiropractic Examiners.</w:t>
      </w:r>
    </w:p>
    <w:p>
      <w:pPr>
        <w:spacing w:before="0" w:after="0"/>
        <w:ind w:left="120"/>
        <w:jc w:val="both"/>
      </w:pPr>
      <w:r>
        <w:rPr>
          <w:rFonts w:ascii="Times New Roman" w:hAnsi="Times New Roman"/>
          <w:b w:val="false"/>
          <w:i/>
          <w:color w:val="000000"/>
          <w:sz w:val="22"/>
        </w:rPr>
        <w:t xml:space="preserve">“Reactivate”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“reactivation” </w:t>
      </w:r>
      <w:r>
        <w:rPr>
          <w:rFonts w:ascii="Times New Roman" w:hAnsi="Times New Roman"/>
          <w:b w:val="false"/>
          <w:i w:val="false"/>
          <w:color w:val="000000"/>
          <w:sz w:val="22"/>
        </w:rPr>
        <w:t xml:space="preserve">means the process as outlined in rule </w:t>
      </w:r>
      <w:hyperlink r:id="rId4">
        <w:r>
          <w:rPr>
            <w:rStyle w:val="Hyperlink"/>
            <w:rFonts w:ascii="Times New Roman" w:hAnsi="Times New Roman"/>
            <w:b w:val="false"/>
            <w:i w:val="false"/>
            <w:color w:val="000000"/>
            <w:sz w:val="22"/>
          </w:rPr>
          <w:t>645—41.14</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means the process as outlined in rule </w:t>
      </w:r>
      <w:hyperlink r:id="rId5">
        <w:r>
          <w:rPr>
            <w:rStyle w:val="Hyperlink"/>
            <w:rFonts w:ascii="Times New Roman" w:hAnsi="Times New Roman"/>
            <w:b w:val="false"/>
            <w:i w:val="false"/>
            <w:color w:val="000000"/>
            <w:sz w:val="22"/>
          </w:rPr>
          <w:t>645—11.31</w:t>
        </w:r>
      </w:hyperlink>
      <w:r>
        <w:rPr>
          <w:rFonts w:ascii="Times New Roman" w:hAnsi="Times New Roman"/>
          <w:b w:val="false"/>
          <w:i w:val="false"/>
          <w:color w:val="000000"/>
          <w:sz w:val="22"/>
        </w:rPr>
        <w:t>(272C) by which a licensee who has had a license suspended or revoked or who has voluntarily surrendered a license may apply to have the license reinstated, with or without conditions. Once the license is reinstated, the licensee may apply for active status.</w:t>
      </w:r>
    </w:p>
    <w:p>
      <w:pPr>
        <w:spacing w:before="0" w:after="0"/>
        <w:ind w:left="120"/>
        <w:jc w:val="both"/>
      </w:pPr>
      <w:r>
        <w:rPr>
          <w:rFonts w:ascii="Times New Roman" w:hAnsi="Times New Roman"/>
          <w:b w:val="false"/>
          <w:i/>
          <w:color w:val="000000"/>
          <w:sz w:val="22"/>
        </w:rPr>
        <w:t xml:space="preserve">“SPEC” </w:t>
      </w:r>
      <w:r>
        <w:rPr>
          <w:rFonts w:ascii="Times New Roman" w:hAnsi="Times New Roman"/>
          <w:b w:val="false"/>
          <w:i w:val="false"/>
          <w:color w:val="000000"/>
          <w:sz w:val="22"/>
        </w:rPr>
        <w:t>means Special Purposes Examination for Chiropractic, which is an examination provided by the NBCE that is designed specifically for utilization by state or foreign licensing agencies.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645—41.2</w:t>
      </w:r>
      <w:r>
        <w:rPr>
          <w:rFonts w:ascii="Times New Roman" w:hAnsi="Times New Roman"/>
          <w:b/>
          <w:i w:val="false"/>
          <w:color w:val="000000"/>
          <w:sz w:val="22"/>
        </w:rPr>
        <w:t xml:space="preserve">(151) </w:t>
      </w:r>
      <w:r>
        <w:rPr>
          <w:rFonts w:ascii="Times New Roman" w:hAnsi="Times New Roman"/>
          <w:b/>
          <w:i w:val="false"/>
          <w:color w:val="000000"/>
          <w:sz w:val="22"/>
        </w:rPr>
        <w:t xml:space="preserve">Initial licensure. </w:t>
      </w:r>
    </w:p>
    <w:p>
      <w:pPr>
        <w:spacing w:before="0" w:after="0"/>
        <w:ind w:left="120"/>
        <w:jc w:val="both"/>
      </w:pPr>
      <w:r>
        <w:rPr>
          <w:rFonts w:ascii="Times New Roman" w:hAnsi="Times New Roman"/>
          <w:b/>
          <w:i w:val="false"/>
          <w:color w:val="000000"/>
          <w:sz w:val="22"/>
        </w:rPr>
        <w:t>41.2(1)</w:t>
      </w:r>
      <w:r>
        <w:rPr>
          <w:rFonts w:ascii="Times New Roman" w:hAnsi="Times New Roman"/>
          <w:b w:val="false"/>
          <w:i w:val="false"/>
          <w:color w:val="000000"/>
          <w:sz w:val="22"/>
        </w:rPr>
        <w:t> </w:t>
      </w:r>
      <w:r>
        <w:rPr>
          <w:rFonts w:ascii="Times New Roman" w:hAnsi="Times New Roman"/>
          <w:b w:val="false"/>
          <w:i w:val="false"/>
          <w:color w:val="000000"/>
          <w:sz w:val="22"/>
        </w:rPr>
        <w:t>To apply for a license, the applicant will complete an online application packet and pay the nonrefundable application fee.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licensed in another jurisdiction, the applicant will complete the licensure by endorsement application and submit a license verification document that discloses if disciplinary action was taken in the jurisdiction where the applicant was most recently licensed.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person who is licensed in another jurisdiction and cannot satisfy the requirements of licensure by endorsement may apply for licensure by verification, if eligible, in accordance with rule </w:t>
      </w:r>
      <w:hyperlink r:id="rId6">
        <w:r>
          <w:rPr>
            <w:rStyle w:val="Hyperlink"/>
            <w:rFonts w:ascii="Times New Roman" w:hAnsi="Times New Roman"/>
            <w:b w:val="false"/>
            <w:i w:val="false"/>
            <w:color w:val="000000"/>
            <w:sz w:val="22"/>
          </w:rPr>
          <w:t>645—19.1</w:t>
        </w:r>
      </w:hyperlink>
      <w:r>
        <w:rPr>
          <w:rFonts w:ascii="Times New Roman" w:hAnsi="Times New Roman"/>
          <w:b w:val="false"/>
          <w:i w:val="false"/>
          <w:color w:val="000000"/>
          <w:sz w:val="22"/>
        </w:rPr>
        <w:t>(272C).</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An application not completed according to guidelines will not be reviewed by the board. </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applicant will request the accredited chiropractic school submit official copies of the applicant’s transcripts to the board office. </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applicant will submit an official certificate of completion of 120 hours of physiotherapy that includes a practicum component from a board-approved chiropractic college.</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applicant will pass all parts of the NBCE examination as outlined in rule </w:t>
      </w:r>
      <w:hyperlink r:id="rId7">
        <w:r>
          <w:rPr>
            <w:rStyle w:val="Hyperlink"/>
            <w:rFonts w:ascii="Times New Roman" w:hAnsi="Times New Roman"/>
            <w:b w:val="false"/>
            <w:i w:val="false"/>
            <w:color w:val="000000"/>
            <w:sz w:val="22"/>
          </w:rPr>
          <w:t>645—41.3</w:t>
        </w:r>
      </w:hyperlink>
      <w:r>
        <w:rPr>
          <w:rFonts w:ascii="Times New Roman" w:hAnsi="Times New Roman"/>
          <w:b w:val="false"/>
          <w:i w:val="false"/>
          <w:color w:val="000000"/>
          <w:sz w:val="22"/>
        </w:rPr>
        <w:t>(151).</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applicant will submit a copy of the chiropractic diploma.</w:t>
      </w:r>
    </w:p>
    <w:p>
      <w:pPr>
        <w:spacing w:before="0" w:after="0"/>
        <w:ind w:left="120"/>
        <w:jc w:val="both"/>
      </w:pPr>
      <w:r>
        <w:rPr>
          <w:rFonts w:ascii="Times New Roman" w:hAnsi="Times New Roman"/>
          <w:b/>
          <w:i w:val="false"/>
          <w:color w:val="000000"/>
          <w:sz w:val="22"/>
        </w:rPr>
        <w:t>41.2(2)</w:t>
      </w:r>
      <w:r>
        <w:rPr>
          <w:rFonts w:ascii="Times New Roman" w:hAnsi="Times New Roman"/>
          <w:b w:val="false"/>
          <w:i w:val="false"/>
          <w:color w:val="000000"/>
          <w:sz w:val="22"/>
        </w:rPr>
        <w:t> </w:t>
      </w:r>
      <w:r>
        <w:rPr>
          <w:rFonts w:ascii="Times New Roman" w:hAnsi="Times New Roman"/>
          <w:b w:val="false"/>
          <w:i w:val="false"/>
          <w:color w:val="000000"/>
          <w:sz w:val="22"/>
        </w:rPr>
        <w:t>Licensees who were issued their licenses within six months prior to the renewal date are not required to renew their licenses until the renewal date two years later.</w:t>
      </w:r>
    </w:p>
    <w:p>
      <w:pPr>
        <w:spacing w:before="0" w:after="0"/>
        <w:ind w:left="120"/>
        <w:jc w:val="both"/>
      </w:pPr>
      <w:r>
        <w:rPr>
          <w:rFonts w:ascii="Times New Roman" w:hAnsi="Times New Roman"/>
          <w:b/>
          <w:i w:val="false"/>
          <w:color w:val="000000"/>
          <w:sz w:val="22"/>
        </w:rPr>
        <w:t>41.2(3)</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board office for more than two years will be: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Considered invalid and destroyed; or</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Maintained upon written request from the candidate.</w:t>
      </w:r>
    </w:p>
    <w:p>
      <w:pPr>
        <w:spacing w:before="0" w:after="0"/>
        <w:ind w:left="120"/>
        <w:jc w:val="both"/>
      </w:pPr>
      <w:r>
        <w:rPr>
          <w:rFonts w:ascii="Times New Roman" w:hAnsi="Times New Roman"/>
          <w:b/>
          <w:i w:val="false"/>
          <w:color w:val="000000"/>
          <w:sz w:val="22"/>
        </w:rPr>
        <w:t>41.2(4)</w:t>
      </w:r>
      <w:r>
        <w:rPr>
          <w:rFonts w:ascii="Times New Roman" w:hAnsi="Times New Roman"/>
          <w:b w:val="false"/>
          <w:i w:val="false"/>
          <w:color w:val="000000"/>
          <w:sz w:val="22"/>
        </w:rPr>
        <w:t> </w:t>
      </w:r>
      <w:r>
        <w:rPr>
          <w:rFonts w:ascii="Times New Roman" w:hAnsi="Times New Roman"/>
          <w:b w:val="false"/>
          <w:i w:val="false"/>
          <w:color w:val="000000"/>
          <w:sz w:val="22"/>
        </w:rPr>
        <w:t>A license will be publicly displayed in the licensee’s primary place of practice.</w:t>
      </w:r>
    </w:p>
    <w:p>
      <w:pPr>
        <w:spacing w:before="0" w:after="0"/>
        <w:ind w:left="120"/>
        <w:jc w:val="both"/>
      </w:pPr>
      <w:r>
        <w:rPr>
          <w:rFonts w:ascii="Times New Roman" w:hAnsi="Times New Roman"/>
          <w:b/>
          <w:i w:val="false"/>
          <w:color w:val="000000"/>
          <w:sz w:val="22"/>
        </w:rPr>
        <w:t>41.2(5)</w:t>
      </w:r>
      <w:r>
        <w:rPr>
          <w:rFonts w:ascii="Times New Roman" w:hAnsi="Times New Roman"/>
          <w:b w:val="false"/>
          <w:i w:val="false"/>
          <w:color w:val="000000"/>
          <w:sz w:val="22"/>
        </w:rPr>
        <w:t> </w:t>
      </w:r>
      <w:r>
        <w:rPr>
          <w:rFonts w:ascii="Times New Roman" w:hAnsi="Times New Roman"/>
          <w:b w:val="false"/>
          <w:i w:val="false"/>
          <w:color w:val="000000"/>
          <w:sz w:val="22"/>
        </w:rPr>
        <w:t>Licensees are required to notify the board of chiropractic of changes in residence or place of practice within 30 days after the change of address occurs.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645—41.3</w:t>
      </w:r>
      <w:r>
        <w:rPr>
          <w:rFonts w:ascii="Times New Roman" w:hAnsi="Times New Roman"/>
          <w:b/>
          <w:i w:val="false"/>
          <w:color w:val="000000"/>
          <w:sz w:val="22"/>
        </w:rPr>
        <w:t xml:space="preserve">(151) </w:t>
      </w:r>
      <w:r>
        <w:rPr>
          <w:rFonts w:ascii="Times New Roman" w:hAnsi="Times New Roman"/>
          <w:b/>
          <w:i w:val="false"/>
          <w:color w:val="000000"/>
          <w:sz w:val="22"/>
        </w:rPr>
        <w:t xml:space="preserve">Examination requirements. </w:t>
      </w:r>
    </w:p>
    <w:p>
      <w:pPr>
        <w:spacing w:before="0" w:after="0"/>
        <w:ind w:left="120"/>
        <w:jc w:val="both"/>
      </w:pPr>
      <w:r>
        <w:rPr>
          <w:rFonts w:ascii="Times New Roman" w:hAnsi="Times New Roman"/>
          <w:b/>
          <w:i w:val="false"/>
          <w:color w:val="000000"/>
          <w:sz w:val="22"/>
        </w:rPr>
        <w:t>41.3(1)</w:t>
      </w:r>
      <w:r>
        <w:rPr>
          <w:rFonts w:ascii="Times New Roman" w:hAnsi="Times New Roman"/>
          <w:b w:val="false"/>
          <w:i w:val="false"/>
          <w:color w:val="000000"/>
          <w:sz w:val="22"/>
        </w:rPr>
        <w:t> </w:t>
      </w:r>
      <w:r>
        <w:rPr>
          <w:rFonts w:ascii="Times New Roman" w:hAnsi="Times New Roman"/>
          <w:b w:val="false"/>
          <w:i w:val="false"/>
          <w:color w:val="000000"/>
          <w:sz w:val="22"/>
        </w:rPr>
        <w:t>Applicants will submit the application for the NBCE examination and the fee directly to the NBCE.</w:t>
      </w:r>
    </w:p>
    <w:p>
      <w:pPr>
        <w:spacing w:before="0" w:after="0"/>
        <w:ind w:left="120"/>
        <w:jc w:val="both"/>
      </w:pPr>
      <w:r>
        <w:rPr>
          <w:rFonts w:ascii="Times New Roman" w:hAnsi="Times New Roman"/>
          <w:b/>
          <w:i w:val="false"/>
          <w:color w:val="000000"/>
          <w:sz w:val="22"/>
        </w:rPr>
        <w:t>41.3(2)</w:t>
      </w:r>
      <w:r>
        <w:rPr>
          <w:rFonts w:ascii="Times New Roman" w:hAnsi="Times New Roman"/>
          <w:b w:val="false"/>
          <w:i w:val="false"/>
          <w:color w:val="000000"/>
          <w:sz w:val="22"/>
        </w:rPr>
        <w:t> </w:t>
      </w:r>
      <w:r>
        <w:rPr>
          <w:rFonts w:ascii="Times New Roman" w:hAnsi="Times New Roman"/>
          <w:b w:val="false"/>
          <w:i w:val="false"/>
          <w:color w:val="000000"/>
          <w:sz w:val="22"/>
        </w:rPr>
        <w:t>The following criteria will apply for the NBCE: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Prior to July 1, 1973, applicants will provide proof of being issued a basic science certificate.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After July 1, 1973, applicants will provide proof of successful completion of the required examination from the NBCE. The required examination will meet the following criteria:</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Examinations completed after July 1, 1973, will be defined as the successful completion of Parts I and II of the NBCE examination.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Examinations completed after August 1, 1976, will be defined as the successful completion of Parts I, II and Physiotherapy of the NBCE examination.</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Examinations completed after January 1, 1987, will be defined as the successful completion of Parts I, II, III and Physiotherapy of the NBCE examination.</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Examinations completed after January 1, 1996, will be defined as satisfactory completion of Parts I, II, III, IV and Physiotherapy of the NBCE examination.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645—41.4</w:t>
      </w:r>
      <w:r>
        <w:rPr>
          <w:rFonts w:ascii="Times New Roman" w:hAnsi="Times New Roman"/>
          <w:b/>
          <w:i w:val="false"/>
          <w:color w:val="000000"/>
          <w:sz w:val="22"/>
        </w:rPr>
        <w:t xml:space="preserve">(151) </w:t>
      </w:r>
      <w:r>
        <w:rPr>
          <w:rFonts w:ascii="Times New Roman" w:hAnsi="Times New Roman"/>
          <w:b/>
          <w:i w:val="false"/>
          <w:color w:val="000000"/>
          <w:sz w:val="22"/>
        </w:rPr>
        <w:t xml:space="preserve">Educational qualifications. </w:t>
      </w:r>
    </w:p>
    <w:p>
      <w:pPr>
        <w:spacing w:before="0" w:after="0"/>
        <w:ind w:left="120"/>
        <w:jc w:val="both"/>
      </w:pPr>
      <w:r>
        <w:rPr>
          <w:rFonts w:ascii="Times New Roman" w:hAnsi="Times New Roman"/>
          <w:b/>
          <w:i w:val="false"/>
          <w:color w:val="000000"/>
          <w:sz w:val="22"/>
        </w:rPr>
        <w:t>41.4(1)</w:t>
      </w:r>
      <w:r>
        <w:rPr>
          <w:rFonts w:ascii="Times New Roman" w:hAnsi="Times New Roman"/>
          <w:b w:val="false"/>
          <w:i w:val="false"/>
          <w:color w:val="000000"/>
          <w:sz w:val="22"/>
        </w:rPr>
        <w:t> </w:t>
      </w:r>
      <w:r>
        <w:rPr>
          <w:rFonts w:ascii="Times New Roman" w:hAnsi="Times New Roman"/>
          <w:b w:val="false"/>
          <w:i w:val="false"/>
          <w:color w:val="000000"/>
          <w:sz w:val="22"/>
        </w:rPr>
        <w:t>An applicant will present an official transcript verifying graduation from a CCE-accredited and board-approved college of chiropractic.</w:t>
      </w:r>
    </w:p>
    <w:p>
      <w:pPr>
        <w:spacing w:before="0" w:after="0"/>
        <w:ind w:left="120"/>
        <w:jc w:val="both"/>
      </w:pPr>
      <w:r>
        <w:rPr>
          <w:rFonts w:ascii="Times New Roman" w:hAnsi="Times New Roman"/>
          <w:b/>
          <w:i w:val="false"/>
          <w:color w:val="000000"/>
          <w:sz w:val="22"/>
        </w:rPr>
        <w:t>41.4(2)</w:t>
      </w:r>
      <w:r>
        <w:rPr>
          <w:rFonts w:ascii="Times New Roman" w:hAnsi="Times New Roman"/>
          <w:b w:val="false"/>
          <w:i w:val="false"/>
          <w:color w:val="000000"/>
          <w:sz w:val="22"/>
        </w:rPr>
        <w:t> </w:t>
      </w:r>
      <w:r>
        <w:rPr>
          <w:rFonts w:ascii="Times New Roman" w:hAnsi="Times New Roman"/>
          <w:b w:val="false"/>
          <w:i w:val="false"/>
          <w:color w:val="000000"/>
          <w:sz w:val="22"/>
        </w:rPr>
        <w:t>Foreign-trained chiropractic physicians will:</w:t>
      </w:r>
    </w:p>
    <w:p>
      <w:pPr>
        <w:spacing w:before="0" w:after="0"/>
        <w:ind w:left="120"/>
        <w:jc w:val="left"/>
      </w:pP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Provide an equivalency evaluation of their educational credentials processed by the International Education Research Foundation,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professional curriculum must be equivalent to that stated in these rules. The candidate will bear the expense of the curriculum evaluation.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Provide a copy of the certificate or diploma awarded to the applicant from a chiropractic program in the country in which the applicant was educated.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Receive a final determination from the board regarding the application for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645—41.5</w:t>
      </w:r>
      <w:r>
        <w:rPr>
          <w:rFonts w:ascii="Times New Roman" w:hAnsi="Times New Roman"/>
          <w:b/>
          <w:i w:val="false"/>
          <w:color w:val="000000"/>
          <w:sz w:val="22"/>
        </w:rPr>
        <w:t xml:space="preserve">(151) </w:t>
      </w:r>
      <w:r>
        <w:rPr>
          <w:rFonts w:ascii="Times New Roman" w:hAnsi="Times New Roman"/>
          <w:b/>
          <w:i w:val="false"/>
          <w:color w:val="000000"/>
          <w:sz w:val="22"/>
        </w:rPr>
        <w:t xml:space="preserve">Temporary certificate. </w:t>
      </w:r>
    </w:p>
    <w:p>
      <w:pPr>
        <w:spacing w:before="0" w:after="0"/>
        <w:ind w:left="120"/>
        <w:jc w:val="both"/>
      </w:pPr>
      <w:r>
        <w:rPr>
          <w:rFonts w:ascii="Times New Roman" w:hAnsi="Times New Roman"/>
          <w:b/>
          <w:i w:val="false"/>
          <w:color w:val="000000"/>
          <w:sz w:val="22"/>
        </w:rPr>
        <w:t>41.5(1)</w:t>
      </w:r>
      <w:r>
        <w:rPr>
          <w:rFonts w:ascii="Times New Roman" w:hAnsi="Times New Roman"/>
          <w:b w:val="false"/>
          <w:i w:val="false"/>
          <w:color w:val="000000"/>
          <w:sz w:val="22"/>
        </w:rPr>
        <w:t> </w:t>
      </w:r>
      <w:r>
        <w:rPr>
          <w:rFonts w:ascii="Times New Roman" w:hAnsi="Times New Roman"/>
          <w:b w:val="false"/>
          <w:i w:val="false"/>
          <w:color w:val="000000"/>
          <w:sz w:val="22"/>
        </w:rPr>
        <w:t>The board may issue a temporary certificate to practice chiropractic at its discretion if the issuance is in the public interest and the applicant demonstrates a need for the temporary certificate and meets the professional qualifications for licensure.</w:t>
      </w:r>
    </w:p>
    <w:p>
      <w:pPr>
        <w:spacing w:before="0" w:after="0"/>
        <w:ind w:left="120"/>
        <w:jc w:val="both"/>
      </w:pPr>
      <w:r>
        <w:rPr>
          <w:rFonts w:ascii="Times New Roman" w:hAnsi="Times New Roman"/>
          <w:b/>
          <w:i w:val="false"/>
          <w:color w:val="000000"/>
          <w:sz w:val="22"/>
        </w:rPr>
        <w:t>41.5(2)</w:t>
      </w:r>
      <w:r>
        <w:rPr>
          <w:rFonts w:ascii="Times New Roman" w:hAnsi="Times New Roman"/>
          <w:b w:val="false"/>
          <w:i w:val="false"/>
          <w:color w:val="000000"/>
          <w:sz w:val="22"/>
        </w:rPr>
        <w:t> </w:t>
      </w:r>
      <w:r>
        <w:rPr>
          <w:rFonts w:ascii="Times New Roman" w:hAnsi="Times New Roman"/>
          <w:b w:val="false"/>
          <w:i w:val="false"/>
          <w:color w:val="000000"/>
          <w:sz w:val="22"/>
        </w:rPr>
        <w:t xml:space="preserve">Demonstrated need. An applicant must submit information explaining the demonstrated need, how the issuance would serve the public interest, the scope of practice requested, and why a temporary certificate should be granted. To meet the demonstrated need requirement, the applicant will show the need meets one of the following conditions: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applicant will provide chiropractic services in connection with a special activity, event or program conducted in this state;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applicant will provide chiropractic services in connection with a state emergency as proclaimed by the governor;</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applicant previously held an unrestricted license to practice chiropractic in this state and will provide gratuitous chiropractic services as a voluntary public service; or</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applicant will provide chiropractic services in connection with an urgent need.</w:t>
      </w:r>
    </w:p>
    <w:p>
      <w:pPr>
        <w:spacing w:before="0" w:after="0"/>
        <w:ind w:left="120"/>
        <w:jc w:val="both"/>
      </w:pPr>
      <w:r>
        <w:rPr>
          <w:rFonts w:ascii="Times New Roman" w:hAnsi="Times New Roman"/>
          <w:b/>
          <w:i w:val="false"/>
          <w:color w:val="000000"/>
          <w:sz w:val="22"/>
        </w:rPr>
        <w:t>41.5(3)</w:t>
      </w:r>
      <w:r>
        <w:rPr>
          <w:rFonts w:ascii="Times New Roman" w:hAnsi="Times New Roman"/>
          <w:b w:val="false"/>
          <w:i w:val="false"/>
          <w:color w:val="000000"/>
          <w:sz w:val="22"/>
        </w:rPr>
        <w:t> </w:t>
      </w:r>
      <w:r>
        <w:rPr>
          <w:rFonts w:ascii="Times New Roman" w:hAnsi="Times New Roman"/>
          <w:b w:val="false"/>
          <w:i w:val="false"/>
          <w:color w:val="000000"/>
          <w:sz w:val="22"/>
        </w:rPr>
        <w:t>Qualifications for licensure include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Complete an online application packet on the Iowa board of chiropractic website and pay the nonrefundable application fee.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If licensed in another jurisdiction, submit a license verification document that discloses if disciplinary action was taken in the jurisdiction where the applicant was most recently licensed. </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Provide a copy of a chiropractic diploma. </w:t>
      </w:r>
    </w:p>
    <w:p>
      <w:pPr>
        <w:spacing w:before="0" w:after="0"/>
        <w:ind w:left="120"/>
        <w:jc w:val="both"/>
      </w:pPr>
      <w:r>
        <w:rPr>
          <w:rFonts w:ascii="Times New Roman" w:hAnsi="Times New Roman"/>
          <w:b/>
          <w:i w:val="false"/>
          <w:color w:val="000000"/>
          <w:sz w:val="22"/>
        </w:rPr>
        <w:t>41.5(4)</w:t>
      </w:r>
      <w:r>
        <w:rPr>
          <w:rFonts w:ascii="Times New Roman" w:hAnsi="Times New Roman"/>
          <w:b w:val="false"/>
          <w:i w:val="false"/>
          <w:color w:val="000000"/>
          <w:sz w:val="22"/>
        </w:rPr>
        <w:t> </w:t>
      </w:r>
      <w:r>
        <w:rPr>
          <w:rFonts w:ascii="Times New Roman" w:hAnsi="Times New Roman"/>
          <w:b w:val="false"/>
          <w:i w:val="false"/>
          <w:color w:val="000000"/>
          <w:sz w:val="22"/>
        </w:rPr>
        <w:t xml:space="preserve">A temporary certificate will be issued for one year to fulfill the demonstrated need as described in subrule </w:t>
      </w:r>
      <w:hyperlink r:id="rId8">
        <w:r>
          <w:rPr>
            <w:rStyle w:val="Hyperlink"/>
            <w:rFonts w:ascii="Times New Roman" w:hAnsi="Times New Roman"/>
            <w:b w:val="false"/>
            <w:i w:val="false"/>
            <w:color w:val="000000"/>
            <w:sz w:val="22"/>
          </w:rPr>
          <w:t>41.5(2)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i w:val="false"/>
          <w:color w:val="000000"/>
          <w:sz w:val="22"/>
        </w:rPr>
        <w:t>41.5(5)</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or temporary certificate holder who has been denied a temporary certificate may appeal the denial pursuant to rule </w:t>
      </w:r>
      <w:hyperlink r:id="rId9">
        <w:r>
          <w:rPr>
            <w:rStyle w:val="Hyperlink"/>
            <w:rFonts w:ascii="Times New Roman" w:hAnsi="Times New Roman"/>
            <w:b w:val="false"/>
            <w:i w:val="false"/>
            <w:color w:val="000000"/>
            <w:sz w:val="22"/>
          </w:rPr>
          <w:t>645—4.10</w:t>
        </w:r>
      </w:hyperlink>
      <w:r>
        <w:rPr>
          <w:rFonts w:ascii="Times New Roman" w:hAnsi="Times New Roman"/>
          <w:b w:val="false"/>
          <w:i w:val="false"/>
          <w:color w:val="000000"/>
          <w:sz w:val="22"/>
        </w:rPr>
        <w:t>(17A,147,272C). A temporary certificate holder is subject to discipline for any grounds for which licensee discipline may be imposed.</w:t>
      </w:r>
    </w:p>
    <w:p>
      <w:pPr>
        <w:spacing w:before="0" w:after="0"/>
        <w:ind w:left="120"/>
        <w:jc w:val="both"/>
      </w:pPr>
      <w:r>
        <w:rPr>
          <w:rFonts w:ascii="Times New Roman" w:hAnsi="Times New Roman"/>
          <w:b/>
          <w:i w:val="false"/>
          <w:color w:val="000000"/>
          <w:sz w:val="22"/>
        </w:rPr>
        <w:t>41.5(6)</w:t>
      </w:r>
      <w:r>
        <w:rPr>
          <w:rFonts w:ascii="Times New Roman" w:hAnsi="Times New Roman"/>
          <w:b w:val="false"/>
          <w:i w:val="false"/>
          <w:color w:val="000000"/>
          <w:sz w:val="22"/>
        </w:rPr>
        <w:t> </w:t>
      </w:r>
      <w:r>
        <w:rPr>
          <w:rFonts w:ascii="Times New Roman" w:hAnsi="Times New Roman"/>
          <w:b w:val="false"/>
          <w:i w:val="false"/>
          <w:color w:val="000000"/>
          <w:sz w:val="22"/>
        </w:rPr>
        <w:t xml:space="preserve">A temporary certificate holder who meets all licensure conditions as specified in rule </w:t>
      </w:r>
      <w:hyperlink r:id="rId10">
        <w:r>
          <w:rPr>
            <w:rStyle w:val="Hyperlink"/>
            <w:rFonts w:ascii="Times New Roman" w:hAnsi="Times New Roman"/>
            <w:b w:val="false"/>
            <w:i w:val="false"/>
            <w:color w:val="000000"/>
            <w:sz w:val="22"/>
          </w:rPr>
          <w:t>645—41.2</w:t>
        </w:r>
      </w:hyperlink>
      <w:r>
        <w:rPr>
          <w:rFonts w:ascii="Times New Roman" w:hAnsi="Times New Roman"/>
          <w:b w:val="false"/>
          <w:i w:val="false"/>
          <w:color w:val="000000"/>
          <w:sz w:val="22"/>
        </w:rPr>
        <w:t>(151) may obtain a permanent license in lieu of the temporary certificate. To obtain a permanent license, the applicant will submit any additional documentation required for permanent licensure that was not submitted as a part of the temporary certificate application. The applicant may receive fee credit toward the permanent licensure fee equivalent to the fee paid for the temporary certificate if the application for the permanent license and all required documentation are received by the board prior to the expiration of the temporary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645—41.6</w:t>
      </w:r>
      <w:r>
        <w:rPr>
          <w:rFonts w:ascii="Times New Roman" w:hAnsi="Times New Roman"/>
          <w:b/>
          <w:i w:val="false"/>
          <w:color w:val="000000"/>
          <w:sz w:val="22"/>
        </w:rPr>
        <w:t xml:space="preserve">(151)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i w:val="false"/>
          <w:color w:val="000000"/>
          <w:sz w:val="22"/>
        </w:rPr>
        <w:t>41.6(1)</w:t>
      </w:r>
      <w:r>
        <w:rPr>
          <w:rFonts w:ascii="Times New Roman" w:hAnsi="Times New Roman"/>
          <w:b w:val="false"/>
          <w:i w:val="false"/>
          <w:color w:val="000000"/>
          <w:sz w:val="22"/>
        </w:rPr>
        <w:t> </w:t>
      </w:r>
      <w:r>
        <w:rPr>
          <w:rFonts w:ascii="Times New Roman" w:hAnsi="Times New Roman"/>
          <w:b w:val="false"/>
          <w:i w:val="false"/>
          <w:color w:val="000000"/>
          <w:sz w:val="22"/>
        </w:rPr>
        <w:t>The license renewal period for a license to practice begins on July 1 of an even numbered year and ends on June 30 of the next even numbered year.</w:t>
      </w:r>
    </w:p>
    <w:p>
      <w:pPr>
        <w:spacing w:before="0" w:after="0"/>
        <w:ind w:left="120"/>
        <w:jc w:val="both"/>
      </w:pPr>
      <w:r>
        <w:rPr>
          <w:rFonts w:ascii="Times New Roman" w:hAnsi="Times New Roman"/>
          <w:b/>
          <w:i w:val="false"/>
          <w:color w:val="000000"/>
          <w:sz w:val="22"/>
        </w:rPr>
        <w:t>41.6(2)</w:t>
      </w:r>
      <w:r>
        <w:rPr>
          <w:rFonts w:ascii="Times New Roman" w:hAnsi="Times New Roman"/>
          <w:b w:val="false"/>
          <w:i w:val="false"/>
          <w:color w:val="000000"/>
          <w:sz w:val="22"/>
        </w:rPr>
        <w:t> </w:t>
      </w:r>
      <w:r>
        <w:rPr>
          <w:rFonts w:ascii="Times New Roman" w:hAnsi="Times New Roman"/>
          <w:b w:val="false"/>
          <w:i w:val="false"/>
          <w:color w:val="000000"/>
          <w:sz w:val="22"/>
        </w:rPr>
        <w:t>An individual who was issued a license within six months of the license renewal date will not be required to renew the license until the subsequent renewal two years later.</w:t>
      </w:r>
    </w:p>
    <w:p>
      <w:pPr>
        <w:spacing w:before="0" w:after="0"/>
        <w:ind w:left="120"/>
        <w:jc w:val="both"/>
      </w:pPr>
      <w:r>
        <w:rPr>
          <w:rFonts w:ascii="Times New Roman" w:hAnsi="Times New Roman"/>
          <w:b/>
          <w:i w:val="false"/>
          <w:color w:val="000000"/>
          <w:sz w:val="22"/>
        </w:rPr>
        <w:t>41.6(3)</w:t>
      </w:r>
      <w:r>
        <w:rPr>
          <w:rFonts w:ascii="Times New Roman" w:hAnsi="Times New Roman"/>
          <w:b w:val="false"/>
          <w:i w:val="false"/>
          <w:color w:val="000000"/>
          <w:sz w:val="22"/>
        </w:rPr>
        <w:t> </w:t>
      </w:r>
      <w:r>
        <w:rPr>
          <w:rFonts w:ascii="Times New Roman" w:hAnsi="Times New Roman"/>
          <w:b w:val="false"/>
          <w:i w:val="false"/>
          <w:color w:val="000000"/>
          <w:sz w:val="22"/>
        </w:rPr>
        <w:t>A licensee applying for renewal will:</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Meet the continuing education requirements of rule </w:t>
      </w:r>
      <w:hyperlink r:id="rId11">
        <w:r>
          <w:rPr>
            <w:rStyle w:val="Hyperlink"/>
            <w:rFonts w:ascii="Times New Roman" w:hAnsi="Times New Roman"/>
            <w:b w:val="false"/>
            <w:i w:val="false"/>
            <w:color w:val="000000"/>
            <w:sz w:val="22"/>
          </w:rPr>
          <w:t>645—44.2</w:t>
        </w:r>
      </w:hyperlink>
      <w:r>
        <w:rPr>
          <w:rFonts w:ascii="Times New Roman" w:hAnsi="Times New Roman"/>
          <w:b w:val="false"/>
          <w:i w:val="false"/>
          <w:color w:val="000000"/>
          <w:sz w:val="22"/>
        </w:rPr>
        <w:t xml:space="preserve">(272C) and the mandatory reporting requirements of subrule </w:t>
      </w:r>
      <w:hyperlink r:id="rId12">
        <w:r>
          <w:rPr>
            <w:rStyle w:val="Hyperlink"/>
            <w:rFonts w:ascii="Times New Roman" w:hAnsi="Times New Roman"/>
            <w:b w:val="false"/>
            <w:i w:val="false"/>
            <w:color w:val="000000"/>
            <w:sz w:val="22"/>
          </w:rPr>
          <w:t>41.8(4)</w:t>
        </w:r>
      </w:hyperlink>
      <w:r>
        <w:rPr>
          <w:rFonts w:ascii="Times New Roman" w:hAnsi="Times New Roman"/>
          <w:b w:val="false"/>
          <w:i w:val="false"/>
          <w:color w:val="000000"/>
          <w:sz w:val="22"/>
        </w:rPr>
        <w:t>. A licensee whose license was reactivated during the current renewal compliance period may use continuing education credit earned during the compliance period for the first renewal following reactivation; and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Complete the online renewal application, pay the fee, and attach certificate of completing continuing education hours on the Iowa board of chiropractic website before the expiration date.</w:t>
      </w:r>
    </w:p>
    <w:p>
      <w:pPr>
        <w:spacing w:before="0" w:after="0"/>
        <w:ind w:left="120"/>
        <w:jc w:val="both"/>
      </w:pPr>
      <w:r>
        <w:rPr>
          <w:rFonts w:ascii="Times New Roman" w:hAnsi="Times New Roman"/>
          <w:b/>
          <w:i w:val="false"/>
          <w:color w:val="000000"/>
          <w:sz w:val="22"/>
        </w:rPr>
        <w:t>41.6(4)</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licensee who examines, attends, counsels, or treats children, dependent adults or both in the scope of the licensee’s professional practice will complete the applicable department of health and human services training for identifying and reporting child abuse, dependent adult abuse or both. A licensee will maintain written documentation of training completion for three years. The training is not required if the licensee is engaged in active duty military service or holds a waiver from the board demonstrating a hardship in complying with these training requirements. </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board may select licensees for audit of compliance with the requirements in paragraph </w:t>
      </w:r>
      <w:hyperlink r:id="rId13">
        <w:r>
          <w:rPr>
            <w:rStyle w:val="Hyperlink"/>
            <w:rFonts w:ascii="Times New Roman" w:hAnsi="Times New Roman"/>
            <w:b w:val="false"/>
            <w:i w:val="false"/>
            <w:color w:val="000000"/>
            <w:sz w:val="22"/>
          </w:rPr>
          <w:t>41.8(4)</w:t>
        </w:r>
      </w:hyperlink>
      <w:r>
        <w:rPr>
          <w:rFonts w:ascii="Times New Roman" w:hAnsi="Times New Roman"/>
          <w:b w:val="false"/>
          <w:i/>
          <w:color w:val="000000"/>
          <w:sz w:val="22"/>
        </w:rPr>
        <w:t>“a.”</w:t>
      </w:r>
    </w:p>
    <w:p>
      <w:pPr>
        <w:spacing w:before="0" w:after="0"/>
        <w:ind w:left="120"/>
        <w:jc w:val="both"/>
      </w:pPr>
      <w:r>
        <w:rPr>
          <w:rFonts w:ascii="Times New Roman" w:hAnsi="Times New Roman"/>
          <w:b/>
          <w:i w:val="false"/>
          <w:color w:val="000000"/>
          <w:sz w:val="22"/>
        </w:rPr>
        <w:t>41.6(5)</w:t>
      </w:r>
      <w:r>
        <w:rPr>
          <w:rFonts w:ascii="Times New Roman" w:hAnsi="Times New Roman"/>
          <w:b w:val="false"/>
          <w:i w:val="false"/>
          <w:color w:val="000000"/>
          <w:sz w:val="22"/>
        </w:rPr>
        <w:t> </w:t>
      </w:r>
      <w:r>
        <w:rPr>
          <w:rFonts w:ascii="Times New Roman" w:hAnsi="Times New Roman"/>
          <w:b w:val="false"/>
          <w:i w:val="false"/>
          <w:color w:val="000000"/>
          <w:sz w:val="22"/>
        </w:rPr>
        <w:t>A two-year license will be issued after the requirements of rule are met. If the board receives adverse information on the renewal application, the board may refer the adverse information for further consideration or disciplinary investigation.</w:t>
      </w:r>
    </w:p>
    <w:p>
      <w:pPr>
        <w:spacing w:before="0" w:after="0"/>
        <w:ind w:left="120"/>
        <w:jc w:val="both"/>
      </w:pPr>
      <w:r>
        <w:rPr>
          <w:rFonts w:ascii="Times New Roman" w:hAnsi="Times New Roman"/>
          <w:b/>
          <w:i w:val="false"/>
          <w:color w:val="000000"/>
          <w:sz w:val="22"/>
        </w:rPr>
        <w:t>41.6(6)</w:t>
      </w:r>
      <w:r>
        <w:rPr>
          <w:rFonts w:ascii="Times New Roman" w:hAnsi="Times New Roman"/>
          <w:b w:val="false"/>
          <w:i w:val="false"/>
          <w:color w:val="000000"/>
          <w:sz w:val="22"/>
        </w:rPr>
        <w:t> </w:t>
      </w:r>
      <w:r>
        <w:rPr>
          <w:rFonts w:ascii="Times New Roman" w:hAnsi="Times New Roman"/>
          <w:b w:val="false"/>
          <w:i w:val="false"/>
          <w:color w:val="000000"/>
          <w:sz w:val="22"/>
        </w:rPr>
        <w:t>Late renewal. The licensee is responsible for renewing the license prior to expiration every two years. The licensee will complete the renewal requirements and pay the late fee within the 30-day grace period.</w:t>
      </w:r>
    </w:p>
    <w:p>
      <w:pPr>
        <w:spacing w:before="0" w:after="0"/>
        <w:ind w:left="120"/>
        <w:jc w:val="both"/>
      </w:pPr>
      <w:r>
        <w:rPr>
          <w:rFonts w:ascii="Times New Roman" w:hAnsi="Times New Roman"/>
          <w:b/>
          <w:i w:val="false"/>
          <w:color w:val="000000"/>
          <w:sz w:val="22"/>
        </w:rPr>
        <w:t>41.6(7)</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whose license is inactive continues to hold the privilege of licensure in Iowa, but may not practice until the license is reactivated.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645—41.7</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Requirements for reactivation. </w:t>
      </w:r>
      <w:r>
        <w:rPr>
          <w:rFonts w:ascii="Times New Roman" w:hAnsi="Times New Roman"/>
          <w:b w:val="false"/>
          <w:i w:val="false"/>
          <w:color w:val="000000"/>
          <w:sz w:val="22"/>
        </w:rPr>
        <w:t>To apply for reactivation, a licensee will:</w:t>
      </w:r>
    </w:p>
    <w:p>
      <w:pPr>
        <w:spacing w:before="0" w:after="0"/>
        <w:ind w:left="120"/>
        <w:jc w:val="both"/>
      </w:pPr>
      <w:r>
        <w:rPr>
          <w:rFonts w:ascii="Times New Roman" w:hAnsi="Times New Roman"/>
          <w:b/>
          <w:i w:val="false"/>
          <w:color w:val="000000"/>
          <w:sz w:val="22"/>
        </w:rPr>
        <w:t>41.7(1)</w:t>
      </w:r>
      <w:r>
        <w:rPr>
          <w:rFonts w:ascii="Times New Roman" w:hAnsi="Times New Roman"/>
          <w:b w:val="false"/>
          <w:i w:val="false"/>
          <w:color w:val="000000"/>
          <w:sz w:val="22"/>
        </w:rPr>
        <w:t> </w:t>
      </w:r>
      <w:r>
        <w:rPr>
          <w:rFonts w:ascii="Times New Roman" w:hAnsi="Times New Roman"/>
          <w:b w:val="false"/>
          <w:i w:val="false"/>
          <w:color w:val="000000"/>
          <w:sz w:val="22"/>
        </w:rPr>
        <w:t>Complete an online reactivation application on the Iowa board of chiropractic website and pay the nonrefundable reactivation fee.</w:t>
      </w:r>
    </w:p>
    <w:p>
      <w:pPr>
        <w:spacing w:before="0" w:after="0"/>
        <w:ind w:left="120"/>
        <w:jc w:val="both"/>
      </w:pPr>
      <w:r>
        <w:rPr>
          <w:rFonts w:ascii="Times New Roman" w:hAnsi="Times New Roman"/>
          <w:b/>
          <w:i w:val="false"/>
          <w:color w:val="000000"/>
          <w:sz w:val="22"/>
        </w:rPr>
        <w:t>41.7(2)</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as a chiropractic physician by satisfying one of the following criteria:</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license has been on inactive status for five years or less, an applicant must provide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Verification. If licensed in another jurisdiction, submit a license verification document that discloses if disciplinary action was taken in the jurisdiction where the applicant was most recently licensed.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Proof. Submit proof of completing 40 hours of continuing education within two years of application.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license has been on inactive status for more than five years, an applicant must:</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Send verification. Submit a license verification document that discloses if disciplinary action was taken against the applicant from every jurisdiction in which the applicant has been licensed. </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Submit proof of completing 40 hours of continuing education within two years of application. </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Send verification of passing the SPEC if the applicant does not have a current license and has not had an active license in the United States during three of the past five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645—41.8</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 xml:space="preserve">A licensee whose license has been revoked, suspended, or voluntarily surrendered must apply for and receive board-approved reinstatement of the license and must apply for and be granted reactivation prior to practicing in the state.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7/3/02, Notice 5/1/02—published 7/24/02, effective 8/28/02]</w:t>
      </w:r>
    </w:p>
    <w:p>
      <w:pPr>
        <w:spacing w:before="0" w:after="0"/>
        <w:ind w:left="120"/>
        <w:jc w:val="center"/>
      </w:pPr>
      <w:r>
        <w:rPr>
          <w:rFonts w:ascii="Times New Roman" w:hAnsi="Times New Roman"/>
          <w:b w:val="false"/>
          <w:i w:val="false"/>
          <w:color w:val="000000"/>
          <w:sz w:val="21"/>
        </w:rPr>
        <w:t>[Filed 3/24/04, Notice 2/4/04—published 4/14/04, effective 5/19/04]</w:t>
      </w:r>
    </w:p>
    <w:p>
      <w:pPr>
        <w:spacing w:before="0" w:after="0"/>
        <w:ind w:left="120"/>
        <w:jc w:val="center"/>
      </w:pPr>
      <w:r>
        <w:rPr>
          <w:rFonts w:ascii="Times New Roman" w:hAnsi="Times New Roman"/>
          <w:b w:val="false"/>
          <w:i w:val="false"/>
          <w:color w:val="000000"/>
          <w:sz w:val="21"/>
        </w:rPr>
        <w:t>[Filed 7/14/05, Notice 5/25/05—published 8/3/05, effective 9/7/05]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1/27/06, Notice 11/9/05—published 2/15/06, effective 3/22/06]</w:t>
      </w:r>
    </w:p>
    <w:p>
      <w:pPr>
        <w:spacing w:before="0" w:after="0"/>
        <w:ind w:left="120"/>
        <w:jc w:val="center"/>
      </w:pPr>
      <w:r>
        <w:rPr>
          <w:rFonts w:ascii="Times New Roman" w:hAnsi="Times New Roman"/>
          <w:b w:val="false"/>
          <w:i w:val="false"/>
          <w:color w:val="000000"/>
          <w:sz w:val="21"/>
        </w:rPr>
        <w:t>[Filed 1/28/08, Notice 11/7/07—published 2/27/08, effective 4/2/08]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ARC 9109B</w:t>
      </w:r>
      <w:r>
        <w:rPr>
          <w:rFonts w:ascii="Times New Roman" w:hAnsi="Times New Roman"/>
          <w:b w:val="false"/>
          <w:i w:val="false"/>
          <w:color w:val="000000"/>
          <w:sz w:val="21"/>
        </w:rPr>
        <w:t xml:space="preserve"> (Notice ARC 8782B, IAB 6/2/10)</w:t>
      </w:r>
      <w:r>
        <w:rPr>
          <w:rFonts w:ascii="Times New Roman" w:hAnsi="Times New Roman"/>
          <w:b w:val="false"/>
          <w:i w:val="false"/>
          <w:color w:val="000000"/>
          <w:sz w:val="21"/>
        </w:rPr>
        <w:t>, IAB 10/6/10, effective 11/10/10]</w:t>
      </w:r>
    </w:p>
    <w:p>
      <w:pPr>
        <w:spacing w:before="0" w:after="0"/>
        <w:ind w:left="120"/>
        <w:jc w:val="center"/>
      </w:pPr>
      <w:r>
        <w:rPr>
          <w:rFonts w:ascii="Times New Roman" w:hAnsi="Times New Roman"/>
          <w:b w:val="false"/>
          <w:i w:val="false"/>
          <w:color w:val="000000"/>
          <w:sz w:val="21"/>
        </w:rPr>
        <w:t>[Filed ARC 9513B</w:t>
      </w:r>
      <w:r>
        <w:rPr>
          <w:rFonts w:ascii="Times New Roman" w:hAnsi="Times New Roman"/>
          <w:b w:val="false"/>
          <w:i w:val="false"/>
          <w:color w:val="000000"/>
          <w:sz w:val="21"/>
        </w:rPr>
        <w:t xml:space="preserve"> (Notice ARC 9354B, IAB 2/9/11)</w:t>
      </w:r>
      <w:r>
        <w:rPr>
          <w:rFonts w:ascii="Times New Roman" w:hAnsi="Times New Roman"/>
          <w:b w:val="false"/>
          <w:i w:val="false"/>
          <w:color w:val="000000"/>
          <w:sz w:val="21"/>
        </w:rPr>
        <w:t>, IAB 5/18/11, effective 6/22/11]</w:t>
      </w:r>
    </w:p>
    <w:p>
      <w:pPr>
        <w:spacing w:before="0" w:after="0"/>
        <w:ind w:left="120"/>
        <w:jc w:val="center"/>
      </w:pPr>
      <w:r>
        <w:rPr>
          <w:rFonts w:ascii="Times New Roman" w:hAnsi="Times New Roman"/>
          <w:b w:val="false"/>
          <w:i w:val="false"/>
          <w:color w:val="000000"/>
          <w:sz w:val="21"/>
        </w:rPr>
        <w:t>[Filed ARC 2952C</w:t>
      </w:r>
      <w:r>
        <w:rPr>
          <w:rFonts w:ascii="Times New Roman" w:hAnsi="Times New Roman"/>
          <w:b w:val="false"/>
          <w:i w:val="false"/>
          <w:color w:val="000000"/>
          <w:sz w:val="21"/>
        </w:rPr>
        <w:t xml:space="preserve"> (Notice ARC 2857C, IAB 12/7/16)</w:t>
      </w:r>
      <w:r>
        <w:rPr>
          <w:rFonts w:ascii="Times New Roman" w:hAnsi="Times New Roman"/>
          <w:b w:val="false"/>
          <w:i w:val="false"/>
          <w:color w:val="000000"/>
          <w:sz w:val="21"/>
        </w:rPr>
        <w:t>, IAB 2/15/17, effective 3/22/17]</w:t>
      </w:r>
    </w:p>
    <w:p>
      <w:pPr>
        <w:spacing w:before="0" w:after="0"/>
        <w:ind w:left="120"/>
        <w:jc w:val="center"/>
      </w:pPr>
      <w:r>
        <w:rPr>
          <w:rFonts w:ascii="Times New Roman" w:hAnsi="Times New Roman"/>
          <w:b w:val="false"/>
          <w:i w:val="false"/>
          <w:color w:val="000000"/>
          <w:sz w:val="21"/>
        </w:rPr>
        <w:t>[Filed ARC 4116C</w:t>
      </w:r>
      <w:r>
        <w:rPr>
          <w:rFonts w:ascii="Times New Roman" w:hAnsi="Times New Roman"/>
          <w:b w:val="false"/>
          <w:i w:val="false"/>
          <w:color w:val="000000"/>
          <w:sz w:val="21"/>
        </w:rPr>
        <w:t xml:space="preserve"> (Notice ARC 3943C, IAB 8/15/18)</w:t>
      </w:r>
      <w:r>
        <w:rPr>
          <w:rFonts w:ascii="Times New Roman" w:hAnsi="Times New Roman"/>
          <w:b w:val="false"/>
          <w:i w:val="false"/>
          <w:color w:val="000000"/>
          <w:sz w:val="21"/>
        </w:rPr>
        <w:t>, IAB 11/7/18, effective 12/12/18]</w:t>
      </w:r>
    </w:p>
    <w:p>
      <w:pPr>
        <w:spacing w:before="0" w:after="0"/>
        <w:ind w:left="120"/>
        <w:jc w:val="center"/>
      </w:pPr>
      <w:r>
        <w:rPr>
          <w:rFonts w:ascii="Times New Roman" w:hAnsi="Times New Roman"/>
          <w:b w:val="false"/>
          <w:i w:val="false"/>
          <w:color w:val="000000"/>
          <w:sz w:val="21"/>
        </w:rPr>
        <w:t>[Filed ARC 4435C</w:t>
      </w:r>
      <w:r>
        <w:rPr>
          <w:rFonts w:ascii="Times New Roman" w:hAnsi="Times New Roman"/>
          <w:b w:val="false"/>
          <w:i w:val="false"/>
          <w:color w:val="000000"/>
          <w:sz w:val="21"/>
        </w:rPr>
        <w:t xml:space="preserve"> (Notice ARC 4129C, IAB 11/21/18; </w:t>
      </w:r>
      <w:r>
        <w:rPr>
          <w:rFonts w:ascii="Times New Roman" w:hAnsi="Times New Roman"/>
          <w:b w:val="false"/>
          <w:i w:val="false"/>
          <w:color w:val="000000"/>
          <w:sz w:val="21"/>
        </w:rPr>
        <w:t>Amended Notice ARC 4275C, IAB 2/13/19)</w:t>
      </w:r>
      <w:r>
        <w:rPr>
          <w:rFonts w:ascii="Times New Roman" w:hAnsi="Times New Roman"/>
          <w:b w:val="false"/>
          <w:i w:val="false"/>
          <w:color w:val="000000"/>
          <w:sz w:val="21"/>
        </w:rPr>
        <w:t>, IAB 5/8/19, effective 6/12/19]</w:t>
      </w:r>
    </w:p>
    <w:p>
      <w:pPr>
        <w:spacing w:before="0" w:after="0"/>
        <w:ind w:left="120"/>
        <w:jc w:val="center"/>
      </w:pPr>
      <w:r>
        <w:rPr>
          <w:rFonts w:ascii="Times New Roman" w:hAnsi="Times New Roman"/>
          <w:b w:val="false"/>
          <w:i w:val="false"/>
          <w:color w:val="000000"/>
          <w:sz w:val="21"/>
        </w:rPr>
        <w:t>[Filed ARC 4950C</w:t>
      </w:r>
      <w:r>
        <w:rPr>
          <w:rFonts w:ascii="Times New Roman" w:hAnsi="Times New Roman"/>
          <w:b w:val="false"/>
          <w:i w:val="false"/>
          <w:color w:val="000000"/>
          <w:sz w:val="21"/>
        </w:rPr>
        <w:t xml:space="preserve"> (Notice ARC 4742C, IAB 11/6/19)</w:t>
      </w:r>
      <w:r>
        <w:rPr>
          <w:rFonts w:ascii="Times New Roman" w:hAnsi="Times New Roman"/>
          <w:b w:val="false"/>
          <w:i w:val="false"/>
          <w:color w:val="000000"/>
          <w:sz w:val="21"/>
        </w:rPr>
        <w:t>, IAB 2/26/20, effective 4/1/20]</w:t>
      </w:r>
    </w:p>
    <w:p>
      <w:pPr>
        <w:spacing w:before="0" w:after="0"/>
        <w:ind w:left="120"/>
        <w:jc w:val="center"/>
      </w:pPr>
      <w:r>
        <w:rPr>
          <w:rFonts w:ascii="Times New Roman" w:hAnsi="Times New Roman"/>
          <w:b w:val="false"/>
          <w:i w:val="false"/>
          <w:color w:val="000000"/>
          <w:sz w:val="21"/>
        </w:rPr>
        <w:t>[Filed ARC 5759C</w:t>
      </w:r>
      <w:r>
        <w:rPr>
          <w:rFonts w:ascii="Times New Roman" w:hAnsi="Times New Roman"/>
          <w:b w:val="false"/>
          <w:i w:val="false"/>
          <w:color w:val="000000"/>
          <w:sz w:val="21"/>
        </w:rPr>
        <w:t xml:space="preserve"> (Notice ARC 5448C,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6897C</w:t>
      </w:r>
      <w:r>
        <w:rPr>
          <w:rFonts w:ascii="Times New Roman" w:hAnsi="Times New Roman"/>
          <w:b w:val="false"/>
          <w:i w:val="false"/>
          <w:color w:val="000000"/>
          <w:sz w:val="21"/>
        </w:rPr>
        <w:t xml:space="preserve"> (Notice ARC 6665C, IAB 11/16/22)</w:t>
      </w:r>
      <w:r>
        <w:rPr>
          <w:rFonts w:ascii="Times New Roman" w:hAnsi="Times New Roman"/>
          <w:b w:val="false"/>
          <w:i w:val="false"/>
          <w:color w:val="000000"/>
          <w:sz w:val="21"/>
        </w:rPr>
        <w:t>, IAB 2/22/23, effective 3/29/23]</w:t>
      </w:r>
    </w:p>
    <w:p>
      <w:pPr>
        <w:spacing w:before="0" w:after="0"/>
        <w:ind w:left="120"/>
        <w:jc w:val="center"/>
      </w:pPr>
      <w:r>
        <w:rPr>
          <w:rFonts w:ascii="Times New Roman" w:hAnsi="Times New Roman"/>
          <w:b w:val="false"/>
          <w:i w:val="false"/>
          <w:color w:val="000000"/>
          <w:sz w:val="21"/>
        </w:rPr>
        <w:t>[Filed ARC 7966C</w:t>
      </w:r>
      <w:r>
        <w:rPr>
          <w:rFonts w:ascii="Times New Roman" w:hAnsi="Times New Roman"/>
          <w:b w:val="false"/>
          <w:i w:val="false"/>
          <w:color w:val="000000"/>
          <w:sz w:val="21"/>
        </w:rPr>
        <w:t xml:space="preserve"> (Notice ARC 7463C, IAB 1/10/24)</w:t>
      </w:r>
      <w:r>
        <w:rPr>
          <w:rFonts w:ascii="Times New Roman" w:hAnsi="Times New Roman"/>
          <w:b w:val="false"/>
          <w:i w:val="false"/>
          <w:color w:val="000000"/>
          <w:sz w:val="21"/>
        </w:rPr>
        <w:t>, IAB 5/15/24, effective 6/19/24]</w:t>
      </w:r>
    </w:p>
    <w:p>
      <w:pPr>
        <w:numPr>
          <w:ilvl w:val="0"/>
          <w:numId w:val="3"/>
        </w:numPr>
        <w:pBdr>
          <w:bottom w:space="2"/>
        </w:pBdr>
        <w:spacing w:before="0" w:after="0"/>
        <w:jc w:val="both"/>
      </w:pPr>
    </w:p>
    <w:p>
      <w:pPr>
        <w:spacing w:before="0" w:after="0"/>
        <w:ind w:left="720"/>
        <w:jc w:val="both"/>
      </w:pPr>
      <w:r>
        <w:rPr>
          <w:rFonts w:ascii="Times New Roman" w:hAnsi="Times New Roman"/>
          <w:b w:val="false"/>
          <w:i w:val="false"/>
          <w:color w:val="000000"/>
          <w:sz w:val="16"/>
        </w:rPr>
        <w:t>Two or more ARCs</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abstractNum w:abstractNumId="3">
    <w:multiLevelType w:val="multilevel"/>
    <w:lvl w:ilvl="0">
      <w:start w:val="1"/>
      <w:numFmt w:val="none"/>
      <w:lvlText w:val="%1."/>
      <w:lvlJc w:val="left"/>
      <w:pPr>
        <w:ind w:left="720" w:hanging="360"/>
      </w:pPr>
    </w:lvl>
  </w:abstractNum>
  <w:num w:numId="1">
    <w:abstractNumId w:val="1"/>
  </w:num>
  <w:num w:numId="2">
    <w:abstractNumId w:val="0"/>
  </w:num>
  <w:num w:numId="3">
    <w:abstractNumId w:val="3"/>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45.41.14.pdf" Type="http://schemas.openxmlformats.org/officeDocument/2006/relationships/hyperlink" Id="rId4"/>
    <Relationship TargetMode="External" Target="https://www.legis.iowa.gov/docs/iac/rule/645.11.31.pdf" Type="http://schemas.openxmlformats.org/officeDocument/2006/relationships/hyperlink" Id="rId5"/>
    <Relationship TargetMode="External" Target="https://www.legis.iowa.gov/docs/iac/rule/645.19.1.pdf" Type="http://schemas.openxmlformats.org/officeDocument/2006/relationships/hyperlink" Id="rId6"/>
    <Relationship TargetMode="External" Target="https://www.legis.iowa.gov/docs/iac/rule/645.41.3.pdf" Type="http://schemas.openxmlformats.org/officeDocument/2006/relationships/hyperlink" Id="rId7"/>
    <Relationship TargetMode="External" Target="https://www.legis.iowa.gov/docs/iac/rule/645.41.5.pdf" Type="http://schemas.openxmlformats.org/officeDocument/2006/relationships/hyperlink" Id="rId8"/>
    <Relationship TargetMode="External" Target="https://www.legis.iowa.gov/docs/iac/rule/645.4.10.pdf" Type="http://schemas.openxmlformats.org/officeDocument/2006/relationships/hyperlink" Id="rId9"/>
    <Relationship TargetMode="External" Target="https://www.legis.iowa.gov/docs/iac/rule/645.41.2.pdf" Type="http://schemas.openxmlformats.org/officeDocument/2006/relationships/hyperlink" Id="rId10"/>
    <Relationship TargetMode="External" Target="https://www.legis.iowa.gov/docs/iac/rule/645.44.2.pdf" Type="http://schemas.openxmlformats.org/officeDocument/2006/relationships/hyperlink" Id="rId11"/>
    <Relationship TargetMode="External" Target="https://www.legis.iowa.gov/docs/iac/rule/645.41.8.pdf" Type="http://schemas.openxmlformats.org/officeDocument/2006/relationships/hyperlink" Id="rId12"/>
    <Relationship TargetMode="External" Target="https://www.legis.iowa.gov/docs/iac/rule/645.41.8.pdf" Type="http://schemas.openxmlformats.org/officeDocument/2006/relationships/hyperlink" Id="rId13"/>
    <Relationship TargetMode="External" Target="https://www.legis.iowa.gov/docs/ico/chapter/17A.pdf" Type="http://schemas.openxmlformats.org/officeDocument/2006/relationships/hyperlink" Id="rId14"/>
    <Relationship TargetMode="External" Target="https://www.legis.iowa.gov/docs/ico/chapter/147.pdf" Type="http://schemas.openxmlformats.org/officeDocument/2006/relationships/hyperlink" Id="rId15"/>
    <Relationship TargetMode="External" Target="https://www.legis.iowa.gov/docs/ico/chapter/151.pdf" Type="http://schemas.openxmlformats.org/officeDocument/2006/relationships/hyperlink" Id="rId16"/>
    <Relationship TargetMode="External" Target="https://www.legis.iowa.gov/docs/ico/chapter/272C.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