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PHYSICIAN ASSISTANTS</w:t>
      </w:r>
    </w:p>
    <w:tbl>
      <w:tblPr>
        <w:tblW w:w="0" w:type="auto"/>
        <w:tblCellSpacing w:w="0" w:type="auto"/>
        <w:tblBorders>
          <w:top w:val="none"/>
          <w:left w:val="none"/>
          <w:bottom w:val="none"/>
          <w:right w:val="none"/>
          <w:insideH w:val="none"/>
          <w:insideV w:val="none"/>
        </w:tblBorders>
      </w:tblPr>
      <w:tblGrid>
        <w:gridCol w:w="2299"/>
        <w:gridCol w:w="1818"/>
        <w:gridCol w:w="8064"/>
      </w:tblGrid>
      <w:tr>
        <w:trPr>
          <w:trHeight w:val="240" w:hRule="atLeast"/>
        </w:trPr>
        <w:tc>
          <w:tcPr>
            <w:tcW w:w="2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326</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PHYSICIAN ASSISTANTS</w:t>
            </w:r>
          </w:p>
        </w:tc>
      </w:tr>
      <w:tr>
        <w:trPr>
          <w:trHeight w:val="240" w:hRule="atLeast"/>
        </w:trPr>
        <w:tc>
          <w:tcPr>
            <w:tcW w:w="2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327</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PHYSICIAN ASSISTANTS</w:t>
            </w:r>
          </w:p>
        </w:tc>
      </w:tr>
      <w:tr>
        <w:trPr>
          <w:trHeight w:val="240" w:hRule="atLeast"/>
        </w:trPr>
        <w:tc>
          <w:tcPr>
            <w:tcW w:w="2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328</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PHYSICIAN ASSISTANTS</w:t>
            </w:r>
          </w:p>
        </w:tc>
      </w:tr>
      <w:tr>
        <w:trPr>
          <w:trHeight w:val="240" w:hRule="atLeast"/>
        </w:trPr>
        <w:tc>
          <w:tcPr>
            <w:tcW w:w="2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329</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PHYSICIAN ASSISTANTS</w:t>
            </w:r>
          </w:p>
        </w:tc>
      </w:tr>
      <w:tr>
        <w:trPr>
          <w:trHeight w:val="240" w:hRule="atLeast"/>
        </w:trPr>
        <w:tc>
          <w:tcPr>
            <w:tcW w:w="2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330</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326</w:t>
      </w:r>
    </w:p>
    <w:p>
      <w:pPr>
        <w:spacing w:before="0" w:after="0"/>
        <w:ind w:left="120"/>
        <w:jc w:val="center"/>
      </w:pPr>
      <w:r>
        <w:rPr>
          <w:rFonts w:ascii="Times New Roman" w:hAnsi="Times New Roman"/>
          <w:b w:val="false"/>
          <w:i w:val="false"/>
          <w:color w:val="000000"/>
          <w:sz w:val="21"/>
        </w:rPr>
        <w:t>LICENSURE OF PHYSICIAN ASSISTANTS</w:t>
      </w:r>
    </w:p>
    <w:p>
      <w:pPr>
        <w:spacing w:before="0" w:after="0"/>
        <w:ind w:left="120"/>
        <w:jc w:val="center"/>
      </w:pPr>
      <w:r>
        <w:rPr>
          <w:rFonts w:ascii="Times New Roman" w:hAnsi="Times New Roman"/>
          <w:b w:val="false"/>
          <w:i w:val="false"/>
          <w:color w:val="000000"/>
          <w:sz w:val="14"/>
        </w:rPr>
        <w:t>[Prior to 8/7/02, see 645—325.2(148C) to 645—325.5(148C) and 645—325.16(148C)]</w:t>
      </w:r>
    </w:p>
    <w:p>
      <w:pPr>
        <w:spacing w:before="0" w:after="0"/>
        <w:ind w:left="120"/>
        <w:jc w:val="both"/>
      </w:pPr>
      <w:r>
        <w:rPr>
          <w:rFonts w:ascii="Times New Roman" w:hAnsi="Times New Roman"/>
          <w:b/>
          <w:i w:val="false"/>
          <w:color w:val="000000"/>
          <w:sz w:val="22"/>
        </w:rPr>
        <w:t>645—326.1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 program for the education of physician assistants which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color w:val="000000"/>
          <w:sz w:val="22"/>
        </w:rPr>
        <w:t xml:space="preserve">“CME”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color w:val="000000"/>
          <w:sz w:val="22"/>
        </w:rPr>
        <w:t xml:space="preserve">“Collaboration” </w:t>
      </w:r>
      <w:r>
        <w:rPr>
          <w:rFonts w:ascii="Times New Roman" w:hAnsi="Times New Roman"/>
          <w:b w:val="false"/>
          <w:i w:val="false"/>
          <w:color w:val="000000"/>
          <w:sz w:val="22"/>
        </w:rPr>
        <w:t>means consultation with or referral to the appropriate physician or other health care professional by a physician assistant as indicated by the patient’s condition; the education, competencies, and experience of the physician assistant; and the standard of care.</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both"/>
      </w:pPr>
      <w:r>
        <w:rPr>
          <w:rFonts w:ascii="Times New Roman" w:hAnsi="Times New Roman"/>
          <w:b w:val="false"/>
          <w:i/>
          <w:color w:val="000000"/>
          <w:sz w:val="22"/>
        </w:rPr>
        <w:t xml:space="preserve">“Direction”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by the board as a physician assistant to provide medical services under the supervision of one or more physicians.</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physician assistant to an applicant who is or has been licensed in another state.</w:t>
      </w:r>
    </w:p>
    <w:p>
      <w:pPr>
        <w:spacing w:before="0" w:after="0"/>
        <w:ind w:left="120"/>
        <w:jc w:val="both"/>
      </w:pPr>
      <w:r>
        <w:rPr>
          <w:rFonts w:ascii="Times New Roman" w:hAnsi="Times New Roman"/>
          <w:b w:val="false"/>
          <w:i/>
          <w:color w:val="000000"/>
          <w:sz w:val="22"/>
        </w:rPr>
        <w:t xml:space="preserve">“Locum tenens” </w:t>
      </w:r>
      <w:r>
        <w:rPr>
          <w:rFonts w:ascii="Times New Roman" w:hAnsi="Times New Roman"/>
          <w:b w:val="false"/>
          <w:i w:val="false"/>
          <w:color w:val="000000"/>
          <w:sz w:val="22"/>
        </w:rPr>
        <w:t>means the temporary substitution of one licensed physician assistant for another.</w:t>
      </w:r>
    </w:p>
    <w:p>
      <w:pPr>
        <w:spacing w:before="0" w:after="0"/>
        <w:ind w:left="120"/>
        <w:jc w:val="both"/>
      </w:pP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required of physician assistants who are mandatory reporters. The full requirements on mandatory reporting of child abuse and the training requirements are found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“NCCPA”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osteopathic medicine and surgery, or osteopathy. A physician supervising a physician assistant practicing in a federal facility or under federal authority shall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means a person licensed as a physician assistant by the board.</w:t>
      </w:r>
    </w:p>
    <w:p>
      <w:pPr>
        <w:spacing w:before="0" w:after="0"/>
        <w:ind w:left="120"/>
        <w:jc w:val="both"/>
      </w:pPr>
      <w:r>
        <w:rPr>
          <w:rFonts w:ascii="Times New Roman" w:hAnsi="Times New Roman"/>
          <w:b w:val="false"/>
          <w:i/>
          <w:color w:val="000000"/>
          <w:sz w:val="22"/>
        </w:rPr>
        <w:t xml:space="preserve">“Prescription monitoring program database”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database” </w:t>
      </w:r>
      <w:r>
        <w:rPr>
          <w:rFonts w:ascii="Times New Roman" w:hAnsi="Times New Roman"/>
          <w:b w:val="false"/>
          <w:i w:val="false"/>
          <w:color w:val="000000"/>
          <w:sz w:val="22"/>
        </w:rPr>
        <w:t xml:space="preserve">means the Iowa prescription monitoring program database administered by the Iowa board of pharmacy pursuant to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subchapter VI, and 657—Chapter 37.</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645—326.19(17A,147,272C)</w:t>
        </w:r>
      </w:hyperlink>
      <w:r>
        <w:rPr>
          <w:rFonts w:ascii="Times New Roman" w:hAnsi="Times New Roman"/>
          <w:b w:val="false"/>
          <w:i w:val="false"/>
          <w:color w:val="000000"/>
          <w:sz w:val="22"/>
        </w:rPr>
        <w:t xml:space="preserve">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w:t>
      </w:r>
      <w:hyperlink r:id="rId8">
        <w:r>
          <w:rPr>
            <w:rStyle w:val="Hyperlink"/>
            <w:rFonts w:ascii="Times New Roman" w:hAnsi="Times New Roman"/>
            <w:b w:val="false"/>
            <w:i w:val="false"/>
            <w:color w:val="000000"/>
            <w:sz w:val="22"/>
          </w:rPr>
          <w:t>645—11.31(272C)</w:t>
        </w:r>
      </w:hyperlink>
      <w:r>
        <w:rPr>
          <w:rFonts w:ascii="Times New Roman" w:hAnsi="Times New Roman"/>
          <w:b w:val="false"/>
          <w:i w:val="false"/>
          <w:color w:val="000000"/>
          <w:sz w:val="22"/>
        </w:rPr>
        <w:t xml:space="preserve">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color w:val="000000"/>
          <w:sz w:val="22"/>
        </w:rPr>
        <w:t xml:space="preserve">“Remote medical site” </w:t>
      </w:r>
      <w:r>
        <w:rPr>
          <w:rFonts w:ascii="Times New Roman" w:hAnsi="Times New Roman"/>
          <w:b w:val="false"/>
          <w:i w:val="false"/>
          <w:color w:val="000000"/>
          <w:sz w:val="22"/>
        </w:rPr>
        <w:t>means a medical clinic for ambulatory patients which is more than 30 miles away from the main practice location of a supervising physician and in which a supervising physician is present less than 50 percent of the time the site is open. “Remote medical site” does not apply to nursing homes, patient homes, hospital outpatient departments, outreach clinics, or any location at which medical care is incidentally provided, such as a diet center, free clinic, site for athletic physicals, or a jail facility.</w:t>
      </w:r>
    </w:p>
    <w:p>
      <w:pPr>
        <w:spacing w:before="0" w:after="0"/>
        <w:ind w:left="120"/>
        <w:jc w:val="both"/>
      </w:pP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physician who supervises the medical services provided by the physician assistant consistent with the physician assistant’s education, training, or experience and who accepts ultimate responsibility for the medical care provided by the physician-physician assistant team.</w:t>
      </w:r>
    </w:p>
    <w:p>
      <w:pPr>
        <w:spacing w:before="0" w:after="0"/>
        <w:ind w:left="120"/>
        <w:jc w:val="both"/>
      </w:pP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means that a supervising physician retains ultimate responsibility for patient care, although a physician need not be physically present at each activity of the physician assistant or be specifically consulted before each delegated task is performed. Supervision shall not be construed as requiring the personal presence of a supervising physician at the place where such services are rendered except insofar as the personal presence is expressly required by these rules or by Iowa Code chapter </w:t>
      </w:r>
      <w:hyperlink r:id="rId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“Supply prescription drugs”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4299C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645—326.2</w:t>
      </w:r>
      <w:r>
        <w:rPr>
          <w:rFonts w:ascii="Times New Roman" w:hAnsi="Times New Roman"/>
          <w:b/>
          <w:i w:val="false"/>
          <w:color w:val="000000"/>
          <w:sz w:val="22"/>
        </w:rPr>
        <w:t xml:space="preserve">(148C)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i w:val="false"/>
          <w:color w:val="000000"/>
          <w:sz w:val="22"/>
        </w:rPr>
        <w:t>326.2(1)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licensure: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shall complete a board-approved application packet. Application forms may be obtained from the board’s website (</w:t>
      </w:r>
      <w:hyperlink r:id="rId10">
        <w:r>
          <w:rPr>
            <w:rStyle w:val="Hyperlink"/>
            <w:rFonts w:ascii="Times New Roman" w:hAnsi="Times New Roman"/>
            <w:b w:val="false"/>
            <w:i w:val="false"/>
            <w:color w:val="000000"/>
            <w:sz w:val="22"/>
            <w:u w:val="single"/>
          </w:rPr>
          <w:t>www.idph.state.ia.us/licensure</w:t>
        </w:r>
      </w:hyperlink>
      <w:r>
        <w:rPr>
          <w:rFonts w:ascii="Times New Roman" w:hAnsi="Times New Roman"/>
          <w:b w:val="false"/>
          <w:i w:val="false"/>
          <w:color w:val="000000"/>
          <w:sz w:val="22"/>
        </w:rPr>
        <w:t>) or directly from the board office. All applications shall be sent to the Board of Physician Assistants, Professional Licensure Division, Fifth Floor, Lucas State Office Building, Des Moines, Iowa 50319-0075.</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shall complete the application form according to the instructions contained in the application.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application shall be accompanied by the appropriate fees payable by check or money order to the Iowa Board of Physician Assistants. The fees are nonrefundable.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applicant shall provide official copies of academic transcripts that have been sent to the board directly from an approved program for the education of physician assistants.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 applicant who is not a graduate of an approved program but who passed the NCCPA initial certification examination prior to 1986 is exempt from the graduation requirement.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shall provide a copy of the initial certification from NCCPA, or its successor agency, sent directly to the board from the NCCPA, or its successor agency.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Prior to beginning practice, the physician assistant shall notify the board of the identity of the supervising physician(s) on the board-approved form.</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lieu of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i w:val="false"/>
          <w:color w:val="000000"/>
          <w:sz w:val="22"/>
        </w:rPr>
        <w:t>326.2(2)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shall not be required to renew their licenses until the renewal date two years later.</w:t>
      </w:r>
    </w:p>
    <w:p>
      <w:pPr>
        <w:spacing w:before="0" w:after="0"/>
        <w:ind w:left="120"/>
        <w:jc w:val="both"/>
      </w:pPr>
      <w:r>
        <w:rPr>
          <w:rFonts w:ascii="Times New Roman" w:hAnsi="Times New Roman"/>
          <w:b/>
          <w:i w:val="false"/>
          <w:color w:val="000000"/>
          <w:sz w:val="22"/>
        </w:rPr>
        <w:t>326.2(3)</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Considered invalid and shall be destroyed;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Maintained upon written request of the candidate.</w:t>
      </w:r>
    </w:p>
    <w:p>
      <w:pPr>
        <w:spacing w:before="0" w:after="0"/>
        <w:ind w:left="120"/>
        <w:jc w:val="both"/>
      </w:pPr>
      <w:r>
        <w:rPr>
          <w:rFonts w:ascii="Times New Roman" w:hAnsi="Times New Roman"/>
          <w:b/>
          <w:i w:val="false"/>
          <w:color w:val="000000"/>
          <w:sz w:val="22"/>
        </w:rPr>
        <w:t>645—326.3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i w:val="false"/>
          <w:color w:val="000000"/>
          <w:sz w:val="22"/>
        </w:rPr>
        <w:t>326.3(1)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i w:val="false"/>
          <w:color w:val="000000"/>
          <w:sz w:val="22"/>
        </w:rPr>
        <w:t>326.3(2)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comply with subrule </w:t>
      </w:r>
      <w:hyperlink r:id="rId11">
        <w:r>
          <w:rPr>
            <w:rStyle w:val="Hyperlink"/>
            <w:rFonts w:ascii="Times New Roman" w:hAnsi="Times New Roman"/>
            <w:b w:val="false"/>
            <w:i w:val="false"/>
            <w:color w:val="000000"/>
            <w:sz w:val="22"/>
          </w:rPr>
          <w:t>326.2(1)</w:t>
        </w:r>
      </w:hyperlink>
      <w:r>
        <w:rPr>
          <w:rFonts w:ascii="Times New Roman" w:hAnsi="Times New Roman"/>
          <w:b w:val="false"/>
          <w:i w:val="false"/>
          <w:color w:val="000000"/>
          <w:sz w:val="22"/>
        </w:rPr>
        <w:t xml:space="preserve">, with the exception of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326.3(3)</w:t>
      </w:r>
      <w:r>
        <w:rPr>
          <w:rFonts w:ascii="Times New Roman" w:hAnsi="Times New Roman"/>
          <w:b w:val="false"/>
          <w:i w:val="false"/>
          <w:color w:val="000000"/>
          <w:sz w:val="22"/>
        </w:rPr>
        <w:t> </w:t>
      </w:r>
      <w:r>
        <w:rPr>
          <w:rFonts w:ascii="Times New Roman" w:hAnsi="Times New Roman"/>
          <w:b w:val="false"/>
          <w:i w:val="false"/>
          <w:color w:val="000000"/>
          <w:sz w:val="22"/>
        </w:rPr>
        <w:t>A temporary license shall be valid for one year from the date of issuance.</w:t>
      </w:r>
    </w:p>
    <w:p>
      <w:pPr>
        <w:spacing w:before="0" w:after="0"/>
        <w:ind w:left="120"/>
        <w:jc w:val="both"/>
      </w:pPr>
      <w:r>
        <w:rPr>
          <w:rFonts w:ascii="Times New Roman" w:hAnsi="Times New Roman"/>
          <w:b/>
          <w:i w:val="false"/>
          <w:color w:val="000000"/>
          <w:sz w:val="22"/>
        </w:rPr>
        <w:t>326.3(4)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shall be renewed only once upon the applicant’s showing proof that, through no fault of the applicant, the applicant was unable to take the certification examination recognized by the board. Proof of inability to take the certification examination shall be submitted to the board office with written request for renewal of a temporary license, accompanied by the temporary license renewal fee.</w:t>
      </w:r>
    </w:p>
    <w:p>
      <w:pPr>
        <w:spacing w:before="0" w:after="0"/>
        <w:ind w:left="120"/>
        <w:jc w:val="both"/>
      </w:pPr>
      <w:r>
        <w:rPr>
          <w:rFonts w:ascii="Times New Roman" w:hAnsi="Times New Roman"/>
          <w:b/>
          <w:i w:val="false"/>
          <w:color w:val="000000"/>
          <w:sz w:val="22"/>
        </w:rPr>
        <w:t>326.3(5)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i w:val="false"/>
          <w:color w:val="000000"/>
          <w:sz w:val="22"/>
        </w:rPr>
        <w:t>326.3(6)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i w:val="false"/>
          <w:color w:val="000000"/>
          <w:sz w:val="22"/>
        </w:rPr>
        <w:t>326.3(7)</w:t>
      </w:r>
      <w:r>
        <w:rPr>
          <w:rFonts w:ascii="Times New Roman" w:hAnsi="Times New Roman"/>
          <w:b w:val="false"/>
          <w:i w:val="false"/>
          <w:color w:val="000000"/>
          <w:sz w:val="22"/>
        </w:rPr>
        <w:t> </w:t>
      </w:r>
      <w:r>
        <w:rPr>
          <w:rFonts w:ascii="Times New Roman" w:hAnsi="Times New Roman"/>
          <w:b w:val="false"/>
          <w:i w:val="false"/>
          <w:color w:val="000000"/>
          <w:sz w:val="22"/>
        </w:rPr>
        <w:t>The applicant shall ensure that certification of completion is sent to the board directly from an approved program for the education of physician assistants. The certification of completion must be signed by a designee from the approved program.</w:t>
      </w:r>
    </w:p>
    <w:p>
      <w:pPr>
        <w:spacing w:before="0" w:after="0"/>
        <w:ind w:left="120"/>
        <w:jc w:val="both"/>
      </w:pPr>
      <w:r>
        <w:rPr>
          <w:rFonts w:ascii="Times New Roman" w:hAnsi="Times New Roman"/>
          <w:b/>
          <w:i w:val="false"/>
          <w:color w:val="000000"/>
          <w:sz w:val="22"/>
        </w:rPr>
        <w:t>645—326.4</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licensed under the laws of another jurisdiction shall file an application for licensure by endorsement. An applicant shall:</w:t>
      </w:r>
    </w:p>
    <w:p>
      <w:pPr>
        <w:spacing w:before="0" w:after="0"/>
        <w:ind w:left="120"/>
        <w:jc w:val="both"/>
      </w:pPr>
      <w:r>
        <w:rPr>
          <w:rFonts w:ascii="Times New Roman" w:hAnsi="Times New Roman"/>
          <w:b/>
          <w:i w:val="false"/>
          <w:color w:val="000000"/>
          <w:sz w:val="22"/>
        </w:rPr>
        <w:t>326.4(1)</w:t>
      </w:r>
      <w:r>
        <w:rPr>
          <w:rFonts w:ascii="Times New Roman" w:hAnsi="Times New Roman"/>
          <w:b w:val="false"/>
          <w:i w:val="false"/>
          <w:color w:val="000000"/>
          <w:sz w:val="22"/>
        </w:rPr>
        <w:t> </w:t>
      </w:r>
      <w:r>
        <w:rPr>
          <w:rFonts w:ascii="Times New Roman" w:hAnsi="Times New Roman"/>
          <w:b w:val="false"/>
          <w:i w:val="false"/>
          <w:color w:val="000000"/>
          <w:sz w:val="22"/>
        </w:rPr>
        <w:t>Submit to the board a completed application according to the instructions on the application.</w:t>
      </w:r>
    </w:p>
    <w:p>
      <w:pPr>
        <w:spacing w:before="0" w:after="0"/>
        <w:ind w:left="120"/>
        <w:jc w:val="both"/>
      </w:pPr>
      <w:r>
        <w:rPr>
          <w:rFonts w:ascii="Times New Roman" w:hAnsi="Times New Roman"/>
          <w:b/>
          <w:i w:val="false"/>
          <w:color w:val="000000"/>
          <w:sz w:val="22"/>
        </w:rPr>
        <w:t>326.4(2)</w:t>
      </w:r>
      <w:r>
        <w:rPr>
          <w:rFonts w:ascii="Times New Roman" w:hAnsi="Times New Roman"/>
          <w:b w:val="false"/>
          <w:i w:val="false"/>
          <w:color w:val="000000"/>
          <w:sz w:val="22"/>
        </w:rPr>
        <w:t> </w:t>
      </w:r>
      <w:r>
        <w:rPr>
          <w:rFonts w:ascii="Times New Roman" w:hAnsi="Times New Roman"/>
          <w:b w:val="false"/>
          <w:i w:val="false"/>
          <w:color w:val="000000"/>
          <w:sz w:val="22"/>
        </w:rPr>
        <w:t>Pay the nonrefundable licensure fee.</w:t>
      </w:r>
    </w:p>
    <w:p>
      <w:pPr>
        <w:spacing w:before="0" w:after="0"/>
        <w:ind w:left="120"/>
        <w:jc w:val="both"/>
      </w:pPr>
      <w:r>
        <w:rPr>
          <w:rFonts w:ascii="Times New Roman" w:hAnsi="Times New Roman"/>
          <w:b/>
          <w:i w:val="false"/>
          <w:color w:val="000000"/>
          <w:sz w:val="22"/>
        </w:rPr>
        <w:t>326.4(3)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official copy of the transcript sent directly to the board from an approved program for the education of physician assistants or qualify for the exception stated in paragraph </w:t>
      </w:r>
      <w:hyperlink r:id="rId12">
        <w:r>
          <w:rPr>
            <w:rStyle w:val="Hyperlink"/>
            <w:rFonts w:ascii="Times New Roman" w:hAnsi="Times New Roman"/>
            <w:b w:val="false"/>
            <w:i w:val="false"/>
            <w:color w:val="000000"/>
            <w:sz w:val="22"/>
          </w:rPr>
          <w:t>326.2(1)</w:t>
        </w:r>
      </w:hyperlink>
      <w:r>
        <w:rPr>
          <w:rFonts w:ascii="Times New Roman" w:hAnsi="Times New Roman"/>
          <w:b w:val="false"/>
          <w:i/>
          <w:color w:val="000000"/>
          <w:sz w:val="22"/>
        </w:rPr>
        <w:t>“d.”</w:t>
      </w:r>
    </w:p>
    <w:p>
      <w:pPr>
        <w:spacing w:before="0" w:after="0"/>
        <w:ind w:left="120"/>
        <w:jc w:val="both"/>
      </w:pPr>
      <w:r>
        <w:rPr>
          <w:rFonts w:ascii="Times New Roman" w:hAnsi="Times New Roman"/>
          <w:b/>
          <w:i w:val="false"/>
          <w:color w:val="000000"/>
          <w:sz w:val="22"/>
        </w:rPr>
        <w:t>326.4(4)</w:t>
      </w:r>
      <w:r>
        <w:rPr>
          <w:rFonts w:ascii="Times New Roman" w:hAnsi="Times New Roman"/>
          <w:b w:val="false"/>
          <w:i w:val="false"/>
          <w:color w:val="000000"/>
          <w:sz w:val="22"/>
        </w:rPr>
        <w:t> </w:t>
      </w:r>
      <w:r>
        <w:rPr>
          <w:rFonts w:ascii="Times New Roman" w:hAnsi="Times New Roman"/>
          <w:b w:val="false"/>
          <w:i w:val="false"/>
          <w:color w:val="000000"/>
          <w:sz w:val="22"/>
        </w:rPr>
        <w:t>Provide a copy of the initial certification from NCCPA, or its successor agency, sent directly to the board from the NCCPA, or its successor agency. Additionally, provide one of the following documents: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Copy of current certification from the NCCPA, or its successor agency, sent directly to the board from the NCCPA, or its successor agency;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Proof of completion of 100 CME hours for each biennium since initial certification.</w:t>
      </w:r>
    </w:p>
    <w:p>
      <w:pPr>
        <w:spacing w:before="0" w:after="0"/>
        <w:ind w:left="120"/>
        <w:jc w:val="both"/>
      </w:pPr>
      <w:r>
        <w:rPr>
          <w:rFonts w:ascii="Times New Roman" w:hAnsi="Times New Roman"/>
          <w:b/>
          <w:i w:val="false"/>
          <w:color w:val="000000"/>
          <w:sz w:val="22"/>
        </w:rPr>
        <w:t>326.4(5)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326.4(6)</w:t>
      </w:r>
      <w:r>
        <w:rPr>
          <w:rFonts w:ascii="Times New Roman" w:hAnsi="Times New Roman"/>
          <w:b w:val="false"/>
          <w:i w:val="false"/>
          <w:color w:val="000000"/>
          <w:sz w:val="22"/>
        </w:rPr>
        <w:t> </w:t>
      </w:r>
      <w:r>
        <w:rPr>
          <w:rFonts w:ascii="Times New Roman" w:hAnsi="Times New Roman"/>
          <w:b w:val="false"/>
          <w:i w:val="false"/>
          <w:color w:val="000000"/>
          <w:sz w:val="22"/>
        </w:rPr>
        <w:t>Prior to beginning practice, the physician assistant shall notify the board of the identity of the supervising physician(s) on the board-approved form.</w:t>
      </w:r>
    </w:p>
    <w:p>
      <w:pPr>
        <w:spacing w:before="0" w:after="0"/>
        <w:ind w:left="120"/>
        <w:jc w:val="both"/>
      </w:pPr>
      <w:r>
        <w:rPr>
          <w:rFonts w:ascii="Times New Roman" w:hAnsi="Times New Roman"/>
          <w:b/>
          <w:i w:val="false"/>
          <w:color w:val="000000"/>
          <w:sz w:val="22"/>
        </w:rPr>
        <w:t>326.4(7)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of licensure by endorsement may apply for licensure by verification, if eligible, in accordance with rule </w:t>
      </w:r>
      <w:hyperlink r:id="rId13">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5752C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6896C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645—326.5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645—326.6</w:t>
      </w:r>
      <w:r>
        <w:rPr>
          <w:rFonts w:ascii="Times New Roman" w:hAnsi="Times New Roman"/>
          <w:b/>
          <w:i w:val="false"/>
          <w:color w:val="000000"/>
          <w:sz w:val="22"/>
        </w:rPr>
        <w:t xml:space="preserve">(148C)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applicant for licensure as a physician assistant shall successfully pass the certifying examination conducted by the National Commission on Certification of Physician Assistants or a successor examination approved by the board of physician assistants.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645—326.7</w:t>
      </w:r>
      <w:r>
        <w:rPr>
          <w:rFonts w:ascii="Times New Roman" w:hAnsi="Times New Roman"/>
          <w:b/>
          <w:i w:val="false"/>
          <w:color w:val="000000"/>
          <w:sz w:val="22"/>
        </w:rPr>
        <w:t xml:space="preserve">(148C) </w:t>
      </w:r>
      <w:r>
        <w:rPr>
          <w:rFonts w:ascii="Times New Roman" w:hAnsi="Times New Roman"/>
          <w:b/>
          <w:i w:val="false"/>
          <w:color w:val="000000"/>
          <w:sz w:val="22"/>
        </w:rPr>
        <w:t xml:space="preserve">Educational qualifications. </w:t>
      </w:r>
      <w:r>
        <w:rPr>
          <w:rFonts w:ascii="Times New Roman" w:hAnsi="Times New Roman"/>
          <w:b w:val="false"/>
          <w:i w:val="false"/>
          <w:color w:val="000000"/>
          <w:sz w:val="22"/>
        </w:rPr>
        <w:t xml:space="preserve">An applicant for licensure as a physician assistant shall submit official copies of academic transcripts from an approved program for education of physician assistants, or the applicant shall qualify for the exception stated in paragraph </w:t>
      </w:r>
      <w:hyperlink r:id="rId14">
        <w:r>
          <w:rPr>
            <w:rStyle w:val="Hyperlink"/>
            <w:rFonts w:ascii="Times New Roman" w:hAnsi="Times New Roman"/>
            <w:b w:val="false"/>
            <w:i w:val="false"/>
            <w:color w:val="000000"/>
            <w:sz w:val="22"/>
          </w:rPr>
          <w:t>326.2(1)</w:t>
        </w:r>
      </w:hyperlink>
      <w:r>
        <w:rPr>
          <w:rFonts w:ascii="Times New Roman" w:hAnsi="Times New Roman"/>
          <w:b w:val="false"/>
          <w:i/>
          <w:color w:val="000000"/>
          <w:sz w:val="22"/>
        </w:rPr>
        <w:t>“d.”</w:t>
      </w:r>
    </w:p>
    <w:p>
      <w:pPr>
        <w:spacing w:before="0" w:after="0"/>
        <w:ind w:left="120"/>
        <w:jc w:val="both"/>
      </w:pPr>
      <w:r>
        <w:rPr>
          <w:rFonts w:ascii="Times New Roman" w:hAnsi="Times New Roman"/>
          <w:b/>
          <w:i w:val="false"/>
          <w:color w:val="000000"/>
          <w:sz w:val="22"/>
        </w:rPr>
        <w:t>645—326.8</w:t>
      </w:r>
      <w:r>
        <w:rPr>
          <w:rFonts w:ascii="Times New Roman" w:hAnsi="Times New Roman"/>
          <w:b/>
          <w:i w:val="false"/>
          <w:color w:val="000000"/>
          <w:sz w:val="22"/>
        </w:rPr>
        <w:t xml:space="preserve">(148C)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i w:val="false"/>
          <w:color w:val="000000"/>
          <w:sz w:val="22"/>
        </w:rPr>
        <w:t>326.8(1)</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requirements. Physician assistants shall use the board-approved forms to notify the board of the identity of their supervising physicians at the following times: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Prior to beginning practice in Iowa.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 the time of license renewal. The physician assistant shall notify the board of the identity of each of the physician assistant’s supervising physicians and of any change in the status of the supervisory relationships during the physician assistant’s current biennium. In addition, the physician assistant shall maintain a list of supervising physicians to provide to the board upon request.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 the time of license reactivation.</w:t>
      </w:r>
    </w:p>
    <w:p>
      <w:pPr>
        <w:spacing w:before="0" w:after="0"/>
        <w:ind w:left="120"/>
        <w:jc w:val="both"/>
      </w:pPr>
      <w:r>
        <w:rPr>
          <w:rFonts w:ascii="Times New Roman" w:hAnsi="Times New Roman"/>
          <w:b/>
          <w:i w:val="false"/>
          <w:color w:val="000000"/>
          <w:sz w:val="22"/>
        </w:rPr>
        <w:t>326.8(2)</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shall maintain documentation of current supervising physicians, which shall be made available to the board upon request.</w:t>
      </w:r>
    </w:p>
    <w:p>
      <w:pPr>
        <w:spacing w:before="0" w:after="0"/>
        <w:ind w:left="120"/>
        <w:jc w:val="both"/>
      </w:pPr>
      <w:r>
        <w:rPr>
          <w:rFonts w:ascii="Times New Roman" w:hAnsi="Times New Roman"/>
          <w:b/>
          <w:i w:val="false"/>
          <w:color w:val="000000"/>
          <w:sz w:val="22"/>
        </w:rPr>
        <w:t>326.8(3)</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provides medical services shall be supervised by one or more physicians; but a physician shall not supervise more than five physician assistants at the same time.</w:t>
      </w:r>
    </w:p>
    <w:p>
      <w:pPr>
        <w:spacing w:before="0" w:after="0"/>
        <w:ind w:left="120"/>
        <w:jc w:val="both"/>
      </w:pPr>
      <w:r>
        <w:rPr>
          <w:rFonts w:ascii="Times New Roman" w:hAnsi="Times New Roman"/>
          <w:b/>
          <w:i w:val="false"/>
          <w:color w:val="000000"/>
          <w:sz w:val="22"/>
        </w:rPr>
        <w:t>326.8(4)</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responsibility of the physician assistant and a supervising physician to ensure that the physician assistant is adequately supervised. Upon agreeing to supervise a physician assistant, a supervising physician will be advised that the physician’s name will be listed with the board as a supervising physician. In regard to scheduling, the physician assistant may not practice if supervision is unavailable, except as otherwise provided in Iowa Code chapter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these rules, and must be in compliance with the requirement that no more than five physician assistants shall be supervised by a physician at the same time, pursuant to subrule </w:t>
      </w:r>
      <w:hyperlink r:id="rId16">
        <w:r>
          <w:rPr>
            <w:rStyle w:val="Hyperlink"/>
            <w:rFonts w:ascii="Times New Roman" w:hAnsi="Times New Roman"/>
            <w:b w:val="false"/>
            <w:i w:val="false"/>
            <w:color w:val="000000"/>
            <w:sz w:val="22"/>
          </w:rPr>
          <w:t>326.8(3)</w:t>
        </w:r>
      </w:hyperlink>
      <w:r>
        <w:rPr>
          <w:rFonts w:ascii="Times New Roman" w:hAnsi="Times New Roman"/>
          <w:b w:val="false"/>
          <w:i w:val="false"/>
          <w:color w:val="000000"/>
          <w:sz w:val="22"/>
        </w:rPr>
        <w:t>. The physician assistant and the supervising physician are each responsible for knowing and complying with the supervision provisions of these rules.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Patient care provided by the physician assistant shall be reviewed with a supervising physician on an ongoing basis as indicated by the clinical condition of the patient. Although every chart need not be signed nor every visit reviewed, nor does the supervising physician need to be physically present at each activity of the physician assistant, it is the responsibility of the supervising physician and physician assistant to ensure that each patient has received the appropriate medical care.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Patient care provided by the physician assistant may be reviewed with a supervising physician in person, by telephone or by other telecommunicative means.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signatures are required, electronic signatures are allowed if: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signature is transcribed by the signer into an electronic record and is not the result of electronic regeneration;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mechanism exists allowing confirmation of the signature and protection from unauthorized reproduction.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 the physician assistant is being trained to perform new medical procedures, the training shall be carried out under the supervision of a physician or another qualified individual. Upon completing the supervised training, a physician assistant may perform the new medical procedures if delegated by a supervising physician, except as otherwise provided in Iowa Code chapter </w:t>
      </w:r>
      <w:hyperlink r:id="rId1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these rules. New medical procedures may be delegated to a physician assistant after a supervising physician determines that the physician assistant is competent to perform the task.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645—326.9</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326.9(1)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physician assistant shall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i w:val="false"/>
          <w:color w:val="000000"/>
          <w:sz w:val="22"/>
        </w:rPr>
        <w:t>326.9(2)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i w:val="false"/>
          <w:color w:val="000000"/>
          <w:sz w:val="22"/>
        </w:rPr>
        <w:t>326.9(3)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8">
        <w:r>
          <w:rPr>
            <w:rStyle w:val="Hyperlink"/>
            <w:rFonts w:ascii="Times New Roman" w:hAnsi="Times New Roman"/>
            <w:b w:val="false"/>
            <w:i w:val="false"/>
            <w:color w:val="000000"/>
            <w:sz w:val="22"/>
          </w:rPr>
          <w:t>645—328.2(148C)</w:t>
        </w:r>
      </w:hyperlink>
      <w:r>
        <w:rPr>
          <w:rFonts w:ascii="Times New Roman" w:hAnsi="Times New Roman"/>
          <w:b w:val="false"/>
          <w:i w:val="false"/>
          <w:color w:val="000000"/>
          <w:sz w:val="22"/>
        </w:rPr>
        <w:t xml:space="preserve"> and the mandatory reporting requirements of subrule </w:t>
      </w:r>
      <w:hyperlink r:id="rId19">
        <w:r>
          <w:rPr>
            <w:rStyle w:val="Hyperlink"/>
            <w:rFonts w:ascii="Times New Roman" w:hAnsi="Times New Roman"/>
            <w:b w:val="false"/>
            <w:i w:val="false"/>
            <w:color w:val="000000"/>
            <w:sz w:val="22"/>
          </w:rPr>
          <w:t>326.9(4)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326.9(4)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20">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326.9(4)</w:t>
      </w:r>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course of employment responsibilities, examines, attends, counsels or treats adults in Iowa shall indicate on the renewal application completion of training in dependent adult abuse identification and reporting as required by Iowa Code section </w:t>
      </w:r>
      <w:hyperlink r:id="rId2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326.9(4)</w:t>
      </w:r>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course(s) shall be the curriculum provided by the Iowa department of human services.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licensee shall maintain written documentation for three years after mandatory training as identified in paragraphs 326.9(4)</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board may select licensees for audit of compliance with the requirements in paragraphs 326.9(4)</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326.9(5)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326.9(6)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assistant shall keep the license certificate and renewal displayed in a conspicuous public place at the primary site of practice.</w:t>
      </w:r>
    </w:p>
    <w:p>
      <w:pPr>
        <w:spacing w:before="0" w:after="0"/>
        <w:ind w:left="120"/>
        <w:jc w:val="both"/>
      </w:pPr>
      <w:r>
        <w:rPr>
          <w:rFonts w:ascii="Times New Roman" w:hAnsi="Times New Roman"/>
          <w:b/>
          <w:i w:val="false"/>
          <w:color w:val="000000"/>
          <w:sz w:val="22"/>
        </w:rPr>
        <w:t>326.9(7)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22">
        <w:r>
          <w:rPr>
            <w:rStyle w:val="Hyperlink"/>
            <w:rFonts w:ascii="Times New Roman" w:hAnsi="Times New Roman"/>
            <w:b w:val="false"/>
            <w:i w:val="false"/>
            <w:color w:val="000000"/>
            <w:sz w:val="22"/>
          </w:rPr>
          <w:t>645—subrule 5.14(4)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i w:val="false"/>
          <w:color w:val="000000"/>
          <w:sz w:val="22"/>
        </w:rPr>
        <w:t>326.9(8)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assistant in Iowa until the license is reactivated. A licensee who practices as a physician assistant in the state of Iowa with an inactive license may be subject to disciplinary action by the board, injunctive action pursuant to Iowa Code section </w:t>
      </w:r>
      <w:hyperlink r:id="rId2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9665B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4952C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5752C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645—326.10</w:t>
      </w:r>
      <w:r>
        <w:rPr>
          <w:rFonts w:ascii="Times New Roman" w:hAnsi="Times New Roman"/>
          <w:b w:val="false"/>
          <w:i w:val="false"/>
          <w:color w:val="000000"/>
          <w:sz w:val="22"/>
        </w:rPr>
        <w:t xml:space="preserve"> to </w:t>
      </w:r>
      <w:r>
        <w:rPr>
          <w:rFonts w:ascii="Times New Roman" w:hAnsi="Times New Roman"/>
          <w:b/>
          <w:i w:val="false"/>
          <w:color w:val="000000"/>
          <w:sz w:val="22"/>
        </w:rPr>
        <w:t>326.14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645—326.15</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Use of title. </w:t>
      </w:r>
      <w:r>
        <w:rPr>
          <w:rFonts w:ascii="Times New Roman" w:hAnsi="Times New Roman"/>
          <w:b w:val="false"/>
          <w:i w:val="false"/>
          <w:color w:val="000000"/>
          <w:sz w:val="22"/>
        </w:rPr>
        <w:t xml:space="preserve">A physician assistant licensed under Iowa Code chapter </w:t>
      </w:r>
      <w:hyperlink r:id="rId2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may use the words “physician assistant” after the person’s name or signify the same by the use of the letters “PA.” A person who meets the qualifications for licensure under Iowa Code chapter </w:t>
      </w:r>
      <w:hyperlink r:id="rId2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but does not possess a current license may use the title “PA” or “physician assistant” but may not act or practice as a physician assistant unless licensed under Iowa Code chapter </w:t>
      </w:r>
      <w:hyperlink r:id="rId2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645—326.16</w:t>
      </w:r>
      <w:r>
        <w:rPr>
          <w:rFonts w:ascii="Times New Roman" w:hAnsi="Times New Roman"/>
          <w:b/>
          <w:i w:val="false"/>
          <w:color w:val="000000"/>
          <w:sz w:val="22"/>
        </w:rPr>
        <w:t xml:space="preserve">(148C) </w:t>
      </w:r>
      <w:r>
        <w:rPr>
          <w:rFonts w:ascii="Times New Roman" w:hAnsi="Times New Roman"/>
          <w:b/>
          <w:i w:val="false"/>
          <w:color w:val="000000"/>
          <w:sz w:val="22"/>
        </w:rPr>
        <w:t xml:space="preserve">Address change. </w:t>
      </w:r>
      <w:r>
        <w:rPr>
          <w:rFonts w:ascii="Times New Roman" w:hAnsi="Times New Roman"/>
          <w:b w:val="false"/>
          <w:i w:val="false"/>
          <w:color w:val="000000"/>
          <w:sz w:val="22"/>
        </w:rPr>
        <w:t>The physician assistant shall notify the board of any change in permanent address within 30 days of its occurrence.</w:t>
      </w:r>
    </w:p>
    <w:p>
      <w:pPr>
        <w:spacing w:before="0" w:after="0"/>
        <w:ind w:left="120"/>
        <w:jc w:val="both"/>
      </w:pPr>
      <w:r>
        <w:rPr>
          <w:rFonts w:ascii="Times New Roman" w:hAnsi="Times New Roman"/>
          <w:b/>
          <w:i w:val="false"/>
          <w:color w:val="000000"/>
          <w:sz w:val="22"/>
        </w:rPr>
        <w:t>645—326.17</w:t>
      </w:r>
      <w:r>
        <w:rPr>
          <w:rFonts w:ascii="Times New Roman" w:hAnsi="Times New Roman"/>
          <w:b/>
          <w:i w:val="false"/>
          <w:color w:val="000000"/>
          <w:sz w:val="22"/>
        </w:rPr>
        <w:t xml:space="preserve">(148C) </w:t>
      </w:r>
      <w:r>
        <w:rPr>
          <w:rFonts w:ascii="Times New Roman" w:hAnsi="Times New Roman"/>
          <w:b/>
          <w:i w:val="false"/>
          <w:color w:val="000000"/>
          <w:sz w:val="22"/>
        </w:rPr>
        <w:t xml:space="preserve">Student physician assistant. </w:t>
      </w:r>
    </w:p>
    <w:p>
      <w:pPr>
        <w:spacing w:before="0" w:after="0"/>
        <w:ind w:left="120"/>
        <w:jc w:val="both"/>
      </w:pPr>
      <w:r>
        <w:rPr>
          <w:rFonts w:ascii="Times New Roman" w:hAnsi="Times New Roman"/>
          <w:b/>
          <w:i w:val="false"/>
          <w:color w:val="000000"/>
          <w:sz w:val="22"/>
        </w:rPr>
        <w:t>326.17(1)</w:t>
      </w:r>
      <w:r>
        <w:rPr>
          <w:rFonts w:ascii="Times New Roman" w:hAnsi="Times New Roman"/>
          <w:b w:val="false"/>
          <w:i w:val="false"/>
          <w:color w:val="000000"/>
          <w:sz w:val="22"/>
        </w:rPr>
        <w:t> </w:t>
      </w:r>
      <w:r>
        <w:rPr>
          <w:rFonts w:ascii="Times New Roman" w:hAnsi="Times New Roman"/>
          <w:b w:val="false"/>
          <w:i w:val="false"/>
          <w:color w:val="000000"/>
          <w:sz w:val="22"/>
        </w:rPr>
        <w:t>Any person who is enrolled as a student in an approved program shall comply with the rules set forth in this chapter. A student is exempted from licensure requirements.</w:t>
      </w:r>
    </w:p>
    <w:p>
      <w:pPr>
        <w:spacing w:before="0" w:after="0"/>
        <w:ind w:left="120"/>
        <w:jc w:val="both"/>
      </w:pPr>
      <w:r>
        <w:rPr>
          <w:rFonts w:ascii="Times New Roman" w:hAnsi="Times New Roman"/>
          <w:b/>
          <w:i w:val="false"/>
          <w:color w:val="000000"/>
          <w:sz w:val="22"/>
        </w:rPr>
        <w:t>326.17(2)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these rules, a student may perform medical services when they are rendered within the scope of an approved program.</w:t>
      </w:r>
    </w:p>
    <w:p>
      <w:pPr>
        <w:spacing w:before="0" w:after="0"/>
        <w:ind w:left="120"/>
        <w:jc w:val="both"/>
      </w:pPr>
      <w:r>
        <w:rPr>
          <w:rFonts w:ascii="Times New Roman" w:hAnsi="Times New Roman"/>
          <w:b/>
          <w:i w:val="false"/>
          <w:color w:val="000000"/>
          <w:sz w:val="22"/>
        </w:rPr>
        <w:t>645—326.18</w:t>
      </w:r>
      <w:r>
        <w:rPr>
          <w:rFonts w:ascii="Times New Roman" w:hAnsi="Times New Roman"/>
          <w:b/>
          <w:i w:val="false"/>
          <w:color w:val="000000"/>
          <w:sz w:val="22"/>
        </w:rPr>
        <w:t xml:space="preserve">(148C) </w:t>
      </w:r>
      <w:r>
        <w:rPr>
          <w:rFonts w:ascii="Times New Roman" w:hAnsi="Times New Roman"/>
          <w:b/>
          <w:i w:val="false"/>
          <w:color w:val="000000"/>
          <w:sz w:val="22"/>
        </w:rPr>
        <w:t xml:space="preserve">Recognition of an approved program. </w:t>
      </w:r>
      <w:r>
        <w:rPr>
          <w:rFonts w:ascii="Times New Roman" w:hAnsi="Times New Roman"/>
          <w:b w:val="false"/>
          <w:i w:val="false"/>
          <w:color w:val="000000"/>
          <w:sz w:val="22"/>
        </w:rPr>
        <w:t>The board shall recognize a program for education and training of physician assistants if it is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148C.2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645—326.19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326.19(1)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i w:val="false"/>
          <w:color w:val="000000"/>
          <w:sz w:val="22"/>
        </w:rPr>
        <w:t>326.19(2)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9">
        <w:r>
          <w:rPr>
            <w:rStyle w:val="Hyperlink"/>
            <w:rFonts w:ascii="Times New Roman" w:hAnsi="Times New Roman"/>
            <w:b w:val="false"/>
            <w:i w:val="false"/>
            <w:color w:val="000000"/>
            <w:sz w:val="22"/>
          </w:rPr>
          <w:t>645—Chapter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326.19(3)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assistant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numPr>
          <w:ilvl w:val="0"/>
          <w:numId w:val="3"/>
        </w:numPr>
        <w:spacing w:before="0" w:after="0"/>
        <w:jc w:val="both"/>
      </w:pPr>
      <w:r>
        <w:rPr>
          <w:rFonts w:ascii="Times New Roman" w:hAnsi="Times New Roman"/>
          <w:b w:val="false"/>
          <w:i w:val="false"/>
          <w:color w:val="000000"/>
          <w:sz w:val="22"/>
        </w:rPr>
        <w:t>Licensee’s name;</w:t>
      </w:r>
    </w:p>
    <w:p>
      <w:pPr>
        <w:numPr>
          <w:ilvl w:val="0"/>
          <w:numId w:val="3"/>
        </w:numPr>
        <w:spacing w:before="0" w:after="0"/>
        <w:jc w:val="both"/>
      </w:pPr>
      <w:r>
        <w:rPr>
          <w:rFonts w:ascii="Times New Roman" w:hAnsi="Times New Roman"/>
          <w:b w:val="false"/>
          <w:i w:val="false"/>
          <w:color w:val="000000"/>
          <w:sz w:val="22"/>
        </w:rPr>
        <w:t>Date of initial licensure;</w:t>
      </w:r>
    </w:p>
    <w:p>
      <w:pPr>
        <w:numPr>
          <w:ilvl w:val="0"/>
          <w:numId w:val="3"/>
        </w:numPr>
        <w:spacing w:before="0" w:after="0"/>
        <w:jc w:val="both"/>
      </w:pPr>
      <w:r>
        <w:rPr>
          <w:rFonts w:ascii="Times New Roman" w:hAnsi="Times New Roman"/>
          <w:b w:val="false"/>
          <w:i w:val="false"/>
          <w:color w:val="000000"/>
          <w:sz w:val="22"/>
        </w:rPr>
        <w:t>Current licensure status; and</w:t>
      </w:r>
    </w:p>
    <w:p>
      <w:pPr>
        <w:numPr>
          <w:ilvl w:val="0"/>
          <w:numId w:val="3"/>
        </w:numPr>
        <w:spacing w:before="0" w:after="0"/>
        <w:jc w:val="both"/>
      </w:pP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100 hours of continuing education within two years of application for reactivation or NCCPA or successor agency certification.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numPr>
          <w:ilvl w:val="0"/>
          <w:numId w:val="4"/>
        </w:numPr>
        <w:spacing w:before="0" w:after="0"/>
        <w:jc w:val="both"/>
      </w:pPr>
      <w:r>
        <w:rPr>
          <w:rFonts w:ascii="Times New Roman" w:hAnsi="Times New Roman"/>
          <w:b w:val="false"/>
          <w:i w:val="false"/>
          <w:color w:val="000000"/>
          <w:sz w:val="22"/>
        </w:rPr>
        <w:t>Licensee’s name;</w:t>
      </w:r>
    </w:p>
    <w:p>
      <w:pPr>
        <w:numPr>
          <w:ilvl w:val="0"/>
          <w:numId w:val="4"/>
        </w:numPr>
        <w:spacing w:before="0" w:after="0"/>
        <w:jc w:val="both"/>
      </w:pPr>
      <w:r>
        <w:rPr>
          <w:rFonts w:ascii="Times New Roman" w:hAnsi="Times New Roman"/>
          <w:b w:val="false"/>
          <w:i w:val="false"/>
          <w:color w:val="000000"/>
          <w:sz w:val="22"/>
        </w:rPr>
        <w:t>Date of initial licensure;</w:t>
      </w:r>
    </w:p>
    <w:p>
      <w:pPr>
        <w:numPr>
          <w:ilvl w:val="0"/>
          <w:numId w:val="4"/>
        </w:numPr>
        <w:spacing w:before="0" w:after="0"/>
        <w:jc w:val="both"/>
      </w:pPr>
      <w:r>
        <w:rPr>
          <w:rFonts w:ascii="Times New Roman" w:hAnsi="Times New Roman"/>
          <w:b w:val="false"/>
          <w:i w:val="false"/>
          <w:color w:val="000000"/>
          <w:sz w:val="22"/>
        </w:rPr>
        <w:t>Current licensure status; and</w:t>
      </w:r>
    </w:p>
    <w:p>
      <w:pPr>
        <w:numPr>
          <w:ilvl w:val="0"/>
          <w:numId w:val="4"/>
        </w:numPr>
        <w:spacing w:before="0" w:after="0"/>
        <w:jc w:val="both"/>
      </w:pP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200 hours of continuing education within two years of application for reactivation, of which at least 40 percent of the hours completed shall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645—326.20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w:t>
      </w:r>
      <w:hyperlink r:id="rId30">
        <w:r>
          <w:rPr>
            <w:rStyle w:val="Hyperlink"/>
            <w:rFonts w:ascii="Times New Roman" w:hAnsi="Times New Roman"/>
            <w:b w:val="false"/>
            <w:i w:val="false"/>
            <w:color w:val="000000"/>
            <w:sz w:val="22"/>
          </w:rPr>
          <w:t>645—11.31(272C)</w:t>
        </w:r>
      </w:hyperlink>
      <w:r>
        <w:rPr>
          <w:rFonts w:ascii="Times New Roman" w:hAnsi="Times New Roman"/>
          <w:b w:val="false"/>
          <w:i w:val="false"/>
          <w:color w:val="000000"/>
          <w:sz w:val="22"/>
        </w:rPr>
        <w:t xml:space="preserve"> and must apply for and be granted reactivation of the license in accordance with rule </w:t>
      </w:r>
      <w:hyperlink r:id="rId31">
        <w:r>
          <w:rPr>
            <w:rStyle w:val="Hyperlink"/>
            <w:rFonts w:ascii="Times New Roman" w:hAnsi="Times New Roman"/>
            <w:b w:val="false"/>
            <w:i w:val="false"/>
            <w:color w:val="000000"/>
            <w:sz w:val="22"/>
          </w:rPr>
          <w:t>645—326.19(17A,147,272C)</w:t>
        </w:r>
      </w:hyperlink>
      <w:r>
        <w:rPr>
          <w:rFonts w:ascii="Times New Roman" w:hAnsi="Times New Roman"/>
          <w:b w:val="false"/>
          <w:i w:val="false"/>
          <w:color w:val="000000"/>
          <w:sz w:val="22"/>
        </w:rPr>
        <w:t xml:space="preserve"> prior to practicing as a physician assistant in this state.</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4"/>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1/19/05, Notice 11/10/04—published 2/16/05, effective 3/23/05]</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1/18/07, Notice 11/8/06—published 2/14/07, effective 3/21/07]</w:t>
      </w:r>
    </w:p>
    <w:p>
      <w:pPr>
        <w:spacing w:before="0" w:after="0"/>
        <w:ind w:left="120"/>
        <w:jc w:val="center"/>
      </w:pPr>
      <w:r>
        <w:rPr>
          <w:rFonts w:ascii="Times New Roman" w:hAnsi="Times New Roman"/>
          <w:b w:val="false"/>
          <w:i w:val="false"/>
          <w:color w:val="000000"/>
          <w:sz w:val="21"/>
        </w:rPr>
        <w:t>[Filed 2/5/07, Notice 11/8/06—published 2/28/07, effective 4/4/07]</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9665B</w:t>
      </w:r>
      <w:r>
        <w:rPr>
          <w:rFonts w:ascii="Times New Roman" w:hAnsi="Times New Roman"/>
          <w:b w:val="false"/>
          <w:i w:val="false"/>
          <w:color w:val="000000"/>
          <w:sz w:val="21"/>
        </w:rPr>
        <w:t xml:space="preserve"> (Notice ARC 9549B,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0462C</w:t>
      </w:r>
      <w:r>
        <w:rPr>
          <w:rFonts w:ascii="Times New Roman" w:hAnsi="Times New Roman"/>
          <w:b w:val="false"/>
          <w:i w:val="false"/>
          <w:color w:val="000000"/>
          <w:sz w:val="21"/>
        </w:rPr>
        <w:t xml:space="preserve"> (Notice ARC 0283C,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4952C</w:t>
      </w:r>
      <w:r>
        <w:rPr>
          <w:rFonts w:ascii="Times New Roman" w:hAnsi="Times New Roman"/>
          <w:b w:val="false"/>
          <w:i w:val="false"/>
          <w:color w:val="000000"/>
          <w:sz w:val="21"/>
        </w:rPr>
        <w:t xml:space="preserve"> (Notice ARC 4662C,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6896C</w:t>
      </w:r>
      <w:r>
        <w:rPr>
          <w:rFonts w:ascii="Times New Roman" w:hAnsi="Times New Roman"/>
          <w:b w:val="false"/>
          <w:i w:val="false"/>
          <w:color w:val="000000"/>
          <w:sz w:val="21"/>
        </w:rPr>
        <w:t xml:space="preserve"> (Notice ARC 6664C, IAB 11/16/22)</w:t>
      </w:r>
      <w:r>
        <w:rPr>
          <w:rFonts w:ascii="Times New Roman" w:hAnsi="Times New Roman"/>
          <w:b w:val="false"/>
          <w:i w:val="false"/>
          <w:color w:val="000000"/>
          <w:sz w:val="21"/>
        </w:rPr>
        <w:t>, IAB 2/22/23, effective 3/29/23]</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326.1, “remote medical site,” delayed 70 days by the Administrative Rules Review Committee at its meeting held June 7, 2004.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35B.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ac/rule/645.326.19.pdf" Type="http://schemas.openxmlformats.org/officeDocument/2006/relationships/hyperlink" Id="rId7"/>
    <Relationship TargetMode="External" Target="https://www.legis.iowa.gov/docs/iac/rule/645.11.31.pdf" Type="http://schemas.openxmlformats.org/officeDocument/2006/relationships/hyperlink" Id="rId8"/>
    <Relationship TargetMode="External" Target="https://www.legis.iowa.gov/docs/ico/chapter/148C.pdf" Type="http://schemas.openxmlformats.org/officeDocument/2006/relationships/hyperlink" Id="rId9"/>
    <Relationship TargetMode="External" Target="http://www.idph.state.ia.us/licensure" Type="http://schemas.openxmlformats.org/officeDocument/2006/relationships/hyperlink" Id="rId10"/>
    <Relationship TargetMode="External" Target="https://www.legis.iowa.gov/docs/iac/rule/645.326.2.pdf" Type="http://schemas.openxmlformats.org/officeDocument/2006/relationships/hyperlink" Id="rId11"/>
    <Relationship TargetMode="External" Target="https://www.legis.iowa.gov/docs/iac/rule/645.326.2.pdf" Type="http://schemas.openxmlformats.org/officeDocument/2006/relationships/hyperlink" Id="rId12"/>
    <Relationship TargetMode="External" Target="https://www.legis.iowa.gov/docs/iac/rule/645.19.1.pdf" Type="http://schemas.openxmlformats.org/officeDocument/2006/relationships/hyperlink" Id="rId13"/>
    <Relationship TargetMode="External" Target="https://www.legis.iowa.gov/docs/iac/rule/645.326.2.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ac/rule/645.326.8.pdf" Type="http://schemas.openxmlformats.org/officeDocument/2006/relationships/hyperlink" Id="rId16"/>
    <Relationship TargetMode="External" Target="https://www.legis.iowa.gov/docs/ico/chapter/148C.pdf" Type="http://schemas.openxmlformats.org/officeDocument/2006/relationships/hyperlink" Id="rId17"/>
    <Relationship TargetMode="External" Target="https://www.legis.iowa.gov/docs/iac/rule/645.328.2.pdf" Type="http://schemas.openxmlformats.org/officeDocument/2006/relationships/hyperlink" Id="rId18"/>
    <Relationship TargetMode="External" Target="https://www.legis.iowa.gov/docs/iac/rule/645.326.9.pdf" Type="http://schemas.openxmlformats.org/officeDocument/2006/relationships/hyperlink" Id="rId19"/>
    <Relationship TargetMode="External" Target="https://www.legis.iowa.gov/docs/ico/chapter/232.pdf" Type="http://schemas.openxmlformats.org/officeDocument/2006/relationships/hyperlink" Id="rId20"/>
    <Relationship TargetMode="External" Target="https://www.legis.iowa.gov/docs/ico/chapter/235B.pdf" Type="http://schemas.openxmlformats.org/officeDocument/2006/relationships/hyperlink" Id="rId21"/>
    <Relationship TargetMode="External" Target="https://www.legis.iowa.gov/docs/iac/rule/645.5.14.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48C.pdf" Type="http://schemas.openxmlformats.org/officeDocument/2006/relationships/hyperlink" Id="rId25"/>
    <Relationship TargetMode="External" Target="https://www.legis.iowa.gov/docs/ico/chapter/148C.pdf" Type="http://schemas.openxmlformats.org/officeDocument/2006/relationships/hyperlink" Id="rId26"/>
    <Relationship TargetMode="External" Target="https://www.legis.iowa.gov/docs/ico/chapter/148C.pdf" Type="http://schemas.openxmlformats.org/officeDocument/2006/relationships/hyperlink" Id="rId27"/>
    <Relationship TargetMode="External" Target="https://www.legis.iowa.gov/docs/ico/chapter/148C.pdf" Type="http://schemas.openxmlformats.org/officeDocument/2006/relationships/hyperlink" Id="rId28"/>
    <Relationship TargetMode="External" Target="https://www.legis.iowa.gov/docs/iac/chapter/645.330.pdf" Type="http://schemas.openxmlformats.org/officeDocument/2006/relationships/hyperlink" Id="rId29"/>
    <Relationship TargetMode="External" Target="https://www.legis.iowa.gov/docs/iac/rule/645.11.31.pdf" Type="http://schemas.openxmlformats.org/officeDocument/2006/relationships/hyperlink" Id="rId30"/>
    <Relationship TargetMode="External" Target="https://www.legis.iowa.gov/docs/iac/rule/645.326.19.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147.pdf" Type="http://schemas.openxmlformats.org/officeDocument/2006/relationships/hyperlink" Id="rId33"/>
    <Relationship TargetMode="External" Target="https://www.legis.iowa.gov/docs/ico/chapter/148C.pdf" Type="http://schemas.openxmlformats.org/officeDocument/2006/relationships/hyperlink" Id="rId34"/>
    <Relationship TargetMode="External" Target="https://www.legis.iowa.gov/docs/ico/chapter/272C.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