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BEHAVIORAL SCIENTISTS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63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MARITAL AND FAMILY THERAPISTS, MENTAL HEALTH COUNSELORS, BEHAVIOR ANALYSTS, AND ASSISTANT BEHAVIOR ANALYSTS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CONTINUING EDUCATION FOR MARITAL AND FAMILY THERAPISTS AND MENTAL HEALTH COUNSELORS </w:t>
            </w:r>
          </w:p>
        </w:tc>
      </w:tr>
      <w:tr>
        <w:trPr>
          <w:trHeight w:val="63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MARITAL AND FAMILY THERAPISTS, MENTAL HEALTH COUNSELORS, BEHAVIOR ANALYSTS, AND ASSISTANT BEHAVIOR ANALYSTS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LICENSURE OF MARITAL AND FAMILY THERAPISTS, MENTAL HEALTH COUNSELORS, BEHAVIOR ANALYSTS, AND ASSISTANT BEHAVIOR ANALYSTS</w:t>
      </w:r>
    </w:p>
    <w:p>
      <w:pPr>
        <w:spacing w:before="0" w:after="0"/>
        <w:ind w:left="120"/>
        <w:jc w:val="center"/>
      </w:pPr>
      <w:r>
        <w:rPr>
          <w:rFonts w:ascii="Times New Roman" w:hAnsi="Times New Roman"/>
          <w:b w:val="false"/>
          <w:i w:val="false"/>
          <w:color w:val="000000"/>
          <w:sz w:val="12"/>
        </w:rPr>
        <w:t>[Prior to 1/30/02, see 645—Chapter 30]</w:t>
      </w:r>
    </w:p>
    <w:p>
      <w:pPr>
        <w:spacing w:before="0" w:after="0"/>
        <w:ind w:left="120"/>
        <w:jc w:val="both"/>
      </w:pPr>
      <w:r>
        <w:rPr>
          <w:rFonts w:ascii="Times New Roman" w:hAnsi="Times New Roman"/>
          <w:b/>
          <w:i w:val="false"/>
          <w:color w:val="000000"/>
          <w:sz w:val="22"/>
        </w:rPr>
        <w:t>645—31.1</w:t>
      </w:r>
      <w:r>
        <w:rPr>
          <w:rFonts w:ascii="Times New Roman" w:hAnsi="Times New Roman"/>
          <w:b/>
          <w:i w:val="false"/>
          <w:color w:val="000000"/>
          <w:sz w:val="22"/>
        </w:rPr>
        <w:t xml:space="preserve">(154D)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color w:val="000000"/>
          <w:sz w:val="22"/>
        </w:rPr>
        <w:t xml:space="preserve">“ACA” </w:t>
      </w:r>
      <w:r>
        <w:rPr>
          <w:rFonts w:ascii="Times New Roman" w:hAnsi="Times New Roman"/>
          <w:b w:val="false"/>
          <w:i w:val="false"/>
          <w:color w:val="000000"/>
          <w:sz w:val="22"/>
        </w:rPr>
        <w:t>means the American Counseling Association.</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“AMFTRB” </w:t>
      </w:r>
      <w:r>
        <w:rPr>
          <w:rFonts w:ascii="Times New Roman" w:hAnsi="Times New Roman"/>
          <w:b w:val="false"/>
          <w:i w:val="false"/>
          <w:color w:val="000000"/>
          <w:sz w:val="22"/>
        </w:rPr>
        <w:t>means the Association of Marital and Family Therapy Regulatory Boards.</w:t>
      </w:r>
    </w:p>
    <w:p>
      <w:pPr>
        <w:spacing w:before="0" w:after="0"/>
        <w:ind w:left="120"/>
        <w:jc w:val="both"/>
      </w:pPr>
      <w:r>
        <w:rPr>
          <w:rFonts w:ascii="Times New Roman" w:hAnsi="Times New Roman"/>
          <w:b w:val="false"/>
          <w:i/>
          <w:color w:val="000000"/>
          <w:sz w:val="22"/>
        </w:rPr>
        <w:t xml:space="preserve">“AMHCA” </w:t>
      </w:r>
      <w:r>
        <w:rPr>
          <w:rFonts w:ascii="Times New Roman" w:hAnsi="Times New Roman"/>
          <w:b w:val="false"/>
          <w:i w:val="false"/>
          <w:color w:val="000000"/>
          <w:sz w:val="22"/>
        </w:rPr>
        <w:t>means the American Mental Health Counselors Association.</w:t>
      </w:r>
    </w:p>
    <w:p>
      <w:pPr>
        <w:spacing w:before="0" w:after="0"/>
        <w:ind w:left="120"/>
        <w:jc w:val="both"/>
      </w:pPr>
      <w:r>
        <w:rPr>
          <w:rFonts w:ascii="Times New Roman" w:hAnsi="Times New Roman"/>
          <w:b w:val="false"/>
          <w:i/>
          <w:color w:val="000000"/>
          <w:sz w:val="22"/>
        </w:rPr>
        <w:t xml:space="preserve">“BACB” </w:t>
      </w:r>
      <w:r>
        <w:rPr>
          <w:rFonts w:ascii="Times New Roman" w:hAnsi="Times New Roman"/>
          <w:b w:val="false"/>
          <w:i w:val="false"/>
          <w:color w:val="000000"/>
          <w:sz w:val="22"/>
        </w:rPr>
        <w:t>means the Behavior Analyst Certification Board.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behavioral science.</w:t>
      </w:r>
    </w:p>
    <w:p>
      <w:pPr>
        <w:spacing w:before="0" w:after="0"/>
        <w:ind w:left="120"/>
        <w:jc w:val="both"/>
      </w:pPr>
      <w:r>
        <w:rPr>
          <w:rFonts w:ascii="Times New Roman" w:hAnsi="Times New Roman"/>
          <w:b w:val="false"/>
          <w:i/>
          <w:color w:val="000000"/>
          <w:sz w:val="22"/>
        </w:rPr>
        <w:t xml:space="preserve">“CCE” </w:t>
      </w:r>
      <w:r>
        <w:rPr>
          <w:rFonts w:ascii="Times New Roman" w:hAnsi="Times New Roman"/>
          <w:b w:val="false"/>
          <w:i w:val="false"/>
          <w:color w:val="000000"/>
          <w:sz w:val="22"/>
        </w:rPr>
        <w:t xml:space="preserve">means the Center for Credentialing and Education, Inc. </w:t>
      </w:r>
    </w:p>
    <w:p>
      <w:pPr>
        <w:spacing w:before="0" w:after="0"/>
        <w:ind w:left="120"/>
        <w:jc w:val="both"/>
      </w:pPr>
      <w:r>
        <w:rPr>
          <w:rFonts w:ascii="Times New Roman" w:hAnsi="Times New Roman"/>
          <w:b w:val="false"/>
          <w:i/>
          <w:color w:val="000000"/>
          <w:sz w:val="22"/>
        </w:rPr>
        <w:t xml:space="preserve">“Course” </w:t>
      </w:r>
      <w:r>
        <w:rPr>
          <w:rFonts w:ascii="Times New Roman" w:hAnsi="Times New Roman"/>
          <w:b w:val="false"/>
          <w:i w:val="false"/>
          <w:color w:val="000000"/>
          <w:sz w:val="22"/>
        </w:rPr>
        <w:t xml:space="preserve">means three graduate semester credit hours. </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marital and family therapist, mental health counselor, behavior analyst, or assistant behavior analyst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September 30 of even-numbered years for marital and family therapists and mental health counselors, and means the expiration date of the certification issued by the Behavior Analyst Certification Board for behavior analysts and assistant behavior analysts.</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mental health counseling or marital and family therapy to an applicant who is or has been licensed in another state.</w:t>
      </w:r>
    </w:p>
    <w:p>
      <w:pPr>
        <w:spacing w:before="0" w:after="0"/>
        <w:ind w:left="120"/>
        <w:jc w:val="both"/>
      </w:pPr>
      <w:r>
        <w:rPr>
          <w:rFonts w:ascii="Times New Roman" w:hAnsi="Times New Roman"/>
          <w:b w:val="false"/>
          <w:i/>
          <w:color w:val="000000"/>
          <w:sz w:val="22"/>
        </w:rPr>
        <w:t xml:space="preserve">“Mental health setting” </w:t>
      </w:r>
      <w:r>
        <w:rPr>
          <w:rFonts w:ascii="Times New Roman" w:hAnsi="Times New Roman"/>
          <w:b w:val="false"/>
          <w:i w:val="false"/>
          <w:color w:val="000000"/>
          <w:sz w:val="22"/>
        </w:rPr>
        <w:t>means a behavioral health setting where an applicant is providing mental health services including the diagnosis, treatment, and assessment of emotional and mental health disorders and issues.</w:t>
      </w:r>
    </w:p>
    <w:p>
      <w:pPr>
        <w:spacing w:before="0" w:after="0"/>
        <w:ind w:left="120"/>
        <w:jc w:val="both"/>
      </w:pPr>
      <w:r>
        <w:rPr>
          <w:rFonts w:ascii="Times New Roman" w:hAnsi="Times New Roman"/>
          <w:b w:val="false"/>
          <w:i/>
          <w:color w:val="000000"/>
          <w:sz w:val="22"/>
        </w:rPr>
        <w:t xml:space="preserve">“NBCC” </w:t>
      </w:r>
      <w:r>
        <w:rPr>
          <w:rFonts w:ascii="Times New Roman" w:hAnsi="Times New Roman"/>
          <w:b w:val="false"/>
          <w:i w:val="false"/>
          <w:color w:val="000000"/>
          <w:sz w:val="22"/>
        </w:rPr>
        <w:t>means the National Board for Certified Counselors.</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645—31.13</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color w:val="000000"/>
          <w:sz w:val="22"/>
        </w:rPr>
        <w:t xml:space="preserve">“Temporary license” </w:t>
      </w:r>
      <w:r>
        <w:rPr>
          <w:rFonts w:ascii="Times New Roman" w:hAnsi="Times New Roman"/>
          <w:b w:val="false"/>
          <w:i w:val="false"/>
          <w:color w:val="000000"/>
          <w:sz w:val="22"/>
        </w:rPr>
        <w:t>means a license to practice marital and family therapy or mental health counseling under direct supervision of a qualified supervisor as determined by the board by rule to fulfill the postgraduate supervised clinical experience requirement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645—31.2</w:t>
      </w:r>
      <w:r>
        <w:rPr>
          <w:rFonts w:ascii="Times New Roman" w:hAnsi="Times New Roman"/>
          <w:b/>
          <w:i w:val="false"/>
          <w:color w:val="000000"/>
          <w:sz w:val="22"/>
        </w:rPr>
        <w:t xml:space="preserve">(154D) </w:t>
      </w:r>
      <w:r>
        <w:rPr>
          <w:rFonts w:ascii="Times New Roman" w:hAnsi="Times New Roman"/>
          <w:b/>
          <w:i w:val="false"/>
          <w:color w:val="000000"/>
          <w:sz w:val="22"/>
        </w:rPr>
        <w:t xml:space="preserve">Requirements for permanent and temporary licensure as a mental health counselor or marriage and family therapist.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online application for licensure and pay the nonrefundable licensure fee specified in rule </w:t>
      </w:r>
      <w:hyperlink r:id="rId6">
        <w:r>
          <w:rPr>
            <w:rStyle w:val="Hyperlink"/>
            <w:rFonts w:ascii="Times New Roman" w:hAnsi="Times New Roman"/>
            <w:b w:val="false"/>
            <w:i w:val="false"/>
            <w:color w:val="000000"/>
            <w:sz w:val="22"/>
          </w:rPr>
          <w:t>645—5.3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The applicant for a mental health counseling license shall submit two completed fingerprint cards and a signed waiver form to facilitate a national criminal history background check by the Iowa division of criminal investigation (DCI) and the Federal Bureau of Investigation (FBI). The cost of the criminal history background check by the DCI and the FBI shall be assessed to the applicant.</w:t>
      </w:r>
    </w:p>
    <w:p>
      <w:pPr>
        <w:spacing w:before="0" w:after="0"/>
        <w:ind w:left="120"/>
        <w:jc w:val="both"/>
      </w:pP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official copies of academic transcripts sent directly from the school to the board of behavioral science have been received by the board or an equivalency evaluation completed by the CCE has been received by the board. The applicant shall present proof of meeting the educational requirements. Documentation of such proof shall be on file in the board office with the application and include one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licensure as a marital and family therapist, an official transcript verifying completion of a marital and family therapy program accredited by the Commission on Accreditation for Marriage and Family Therapy Education (COAMFTE) as defined in subrule </w:t>
      </w:r>
      <w:hyperlink r:id="rId7">
        <w:r>
          <w:rPr>
            <w:rStyle w:val="Hyperlink"/>
            <w:rFonts w:ascii="Times New Roman" w:hAnsi="Times New Roman"/>
            <w:b w:val="false"/>
            <w:i w:val="false"/>
            <w:color w:val="000000"/>
            <w:sz w:val="22"/>
          </w:rPr>
          <w:t>31.5(1)</w:t>
        </w:r>
      </w:hyperlink>
      <w:r>
        <w:rPr>
          <w:rFonts w:ascii="Times New Roman" w:hAnsi="Times New Roman"/>
          <w:b w:val="false"/>
          <w:i w:val="false"/>
          <w:color w:val="000000"/>
          <w:sz w:val="22"/>
        </w:rPr>
        <w:t xml:space="preserve"> or an equivalency evaluation of the applicant’s educational credentials completed by CCE as defined in subrule </w:t>
      </w:r>
      <w:hyperlink r:id="rId8">
        <w:r>
          <w:rPr>
            <w:rStyle w:val="Hyperlink"/>
            <w:rFonts w:ascii="Times New Roman" w:hAnsi="Times New Roman"/>
            <w:b w:val="false"/>
            <w:i w:val="false"/>
            <w:color w:val="000000"/>
            <w:sz w:val="22"/>
          </w:rPr>
          <w:t>31.5(2)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licensure as a mental health counselor, an official transcript verifying completion of a mental health counseling program accredited by the Council on Accreditation of Counseling and Related Educational Programs (CACREP) as defined in </w:t>
      </w:r>
      <w:hyperlink r:id="rId9">
        <w:r>
          <w:rPr>
            <w:rStyle w:val="Hyperlink"/>
            <w:rFonts w:ascii="Times New Roman" w:hAnsi="Times New Roman"/>
            <w:b w:val="false"/>
            <w:i w:val="false"/>
            <w:color w:val="000000"/>
            <w:sz w:val="22"/>
          </w:rPr>
          <w:t>subrule 31.6(1)</w:t>
        </w:r>
      </w:hyperlink>
      <w:r>
        <w:rPr>
          <w:rFonts w:ascii="Times New Roman" w:hAnsi="Times New Roman"/>
          <w:b w:val="false"/>
          <w:i w:val="false"/>
          <w:color w:val="000000"/>
          <w:sz w:val="22"/>
        </w:rPr>
        <w:t xml:space="preserve"> or an equivalency evaluation of the applicant’s educational credentials completed by CCE as defined in subrule </w:t>
      </w:r>
      <w:hyperlink r:id="rId10">
        <w:r>
          <w:rPr>
            <w:rStyle w:val="Hyperlink"/>
            <w:rFonts w:ascii="Times New Roman" w:hAnsi="Times New Roman"/>
            <w:b w:val="false"/>
            <w:i w:val="false"/>
            <w:color w:val="000000"/>
            <w:sz w:val="22"/>
          </w:rPr>
          <w:t>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required to take the examination(s) provided in rule </w:t>
      </w:r>
      <w:hyperlink r:id="rId11">
        <w:r>
          <w:rPr>
            <w:rStyle w:val="Hyperlink"/>
            <w:rFonts w:ascii="Times New Roman" w:hAnsi="Times New Roman"/>
            <w:b w:val="false"/>
            <w:i w:val="false"/>
            <w:color w:val="000000"/>
            <w:sz w:val="22"/>
          </w:rPr>
          <w:t>645—31.3</w:t>
        </w:r>
      </w:hyperlink>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permanent licensure shall submit the required attestation of supervision forms documenting clinical experience as required in rule </w:t>
      </w:r>
      <w:hyperlink r:id="rId12">
        <w:r>
          <w:rPr>
            <w:rStyle w:val="Hyperlink"/>
            <w:rFonts w:ascii="Times New Roman" w:hAnsi="Times New Roman"/>
            <w:b w:val="false"/>
            <w:i w:val="false"/>
            <w:color w:val="000000"/>
            <w:sz w:val="22"/>
          </w:rPr>
          <w:t>645—31.7</w:t>
        </w:r>
      </w:hyperlink>
      <w:r>
        <w:rPr>
          <w:rFonts w:ascii="Times New Roman" w:hAnsi="Times New Roman"/>
          <w:b w:val="false"/>
          <w:i w:val="false"/>
          <w:color w:val="000000"/>
          <w:sz w:val="22"/>
        </w:rPr>
        <w:t>(154D).</w:t>
      </w:r>
    </w:p>
    <w:p>
      <w:pPr>
        <w:spacing w:before="0" w:after="0"/>
        <w:ind w:left="120"/>
        <w:jc w:val="both"/>
      </w:pPr>
      <w:r>
        <w:rPr>
          <w:rFonts w:ascii="Times New Roman" w:hAnsi="Times New Roman"/>
          <w:b/>
          <w:i w:val="false"/>
          <w:color w:val="000000"/>
          <w:sz w:val="22"/>
        </w:rPr>
        <w:t>31.2(6)</w:t>
      </w:r>
      <w:r>
        <w:rPr>
          <w:rFonts w:ascii="Times New Roman" w:hAnsi="Times New Roman"/>
          <w:b w:val="false"/>
          <w:i w:val="false"/>
          <w:color w:val="000000"/>
          <w:sz w:val="22"/>
        </w:rPr>
        <w:t> </w:t>
      </w:r>
      <w:r>
        <w:rPr>
          <w:rFonts w:ascii="Times New Roman" w:hAnsi="Times New Roman"/>
          <w:b w:val="false"/>
          <w:i w:val="false"/>
          <w:color w:val="000000"/>
          <w:sz w:val="22"/>
        </w:rPr>
        <w:t>The applicant for temporary licensure must submit a supervision plan to the board prior to licensure. Within 30 days of completion of the supervised clinical experience, the attestation of the completed supervised experience must be submitted to the board office. The temporary licensee shall remain under supervision until a permanent license is issued.</w:t>
      </w:r>
    </w:p>
    <w:p>
      <w:pPr>
        <w:spacing w:before="0" w:after="0"/>
        <w:ind w:left="120"/>
        <w:jc w:val="both"/>
      </w:pPr>
      <w:r>
        <w:rPr>
          <w:rFonts w:ascii="Times New Roman" w:hAnsi="Times New Roman"/>
          <w:b/>
          <w:i w:val="false"/>
          <w:color w:val="000000"/>
          <w:sz w:val="22"/>
        </w:rPr>
        <w:t>31.2(7)</w:t>
      </w:r>
      <w:r>
        <w:rPr>
          <w:rFonts w:ascii="Times New Roman" w:hAnsi="Times New Roman"/>
          <w:b w:val="false"/>
          <w:i w:val="false"/>
          <w:color w:val="000000"/>
          <w:sz w:val="22"/>
        </w:rPr>
        <w:t> </w:t>
      </w:r>
      <w:r>
        <w:rPr>
          <w:rFonts w:ascii="Times New Roman" w:hAnsi="Times New Roman"/>
          <w:b w:val="false"/>
          <w:i w:val="false"/>
          <w:color w:val="000000"/>
          <w:sz w:val="22"/>
        </w:rPr>
        <w:t>A temporary license is only valid for the purpose of fulfilling the postgraduate supervised clinical experience requirement. It is valid for three years and may be renewed at the discretion of the board.</w:t>
      </w:r>
    </w:p>
    <w:p>
      <w:pPr>
        <w:spacing w:before="0" w:after="0"/>
        <w:ind w:left="120"/>
        <w:jc w:val="both"/>
      </w:pPr>
      <w:r>
        <w:rPr>
          <w:rFonts w:ascii="Times New Roman" w:hAnsi="Times New Roman"/>
          <w:b/>
          <w:i w:val="false"/>
          <w:color w:val="000000"/>
          <w:sz w:val="22"/>
        </w:rPr>
        <w:t>31.2(8)</w:t>
      </w:r>
      <w:r>
        <w:rPr>
          <w:rFonts w:ascii="Times New Roman" w:hAnsi="Times New Roman"/>
          <w:b w:val="false"/>
          <w:i w:val="false"/>
          <w:color w:val="000000"/>
          <w:sz w:val="22"/>
        </w:rPr>
        <w:t> </w:t>
      </w:r>
      <w:r>
        <w:rPr>
          <w:rFonts w:ascii="Times New Roman" w:hAnsi="Times New Roman"/>
          <w:b w:val="false"/>
          <w:i w:val="false"/>
          <w:color w:val="000000"/>
          <w:sz w:val="22"/>
        </w:rPr>
        <w:t>A licensee who was issued an initial permanent license within six months prior to the renewal shall not be required to renew the license until the renewal date two years later.</w:t>
      </w:r>
    </w:p>
    <w:p>
      <w:pPr>
        <w:spacing w:before="0" w:after="0"/>
        <w:ind w:left="120"/>
        <w:jc w:val="both"/>
      </w:pPr>
      <w:r>
        <w:rPr>
          <w:rFonts w:ascii="Times New Roman" w:hAnsi="Times New Roman"/>
          <w:b/>
          <w:i w:val="false"/>
          <w:color w:val="000000"/>
          <w:sz w:val="22"/>
        </w:rPr>
        <w:t>31.2(9)</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or permanent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645—31.3</w:t>
      </w:r>
      <w:r>
        <w:rPr>
          <w:rFonts w:ascii="Times New Roman" w:hAnsi="Times New Roman"/>
          <w:b/>
          <w:i w:val="false"/>
          <w:color w:val="000000"/>
          <w:sz w:val="22"/>
        </w:rPr>
        <w:t xml:space="preserve">(154D) </w:t>
      </w:r>
      <w:r>
        <w:rPr>
          <w:rFonts w:ascii="Times New Roman" w:hAnsi="Times New Roman"/>
          <w:b/>
          <w:i w:val="false"/>
          <w:color w:val="000000"/>
          <w:sz w:val="22"/>
        </w:rPr>
        <w:t xml:space="preserve">Examination requirements for mental health counselors and marital and family therapists.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following examinations in order to qualify for licensing: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 marital and family therapist license, the AMFTRB Examination in Marital and Family Therapy.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 mental health counselor license or a temporary mental health counselor license, the National Counselor Examination (NCE) of the NBCC or the National Clinical Mental Health Counselor Examination (NCMHCE) of the NBCC. For a temporary mental health counselor license, the NCE of the NBCC or the NCMHCE of the NBCC.</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 mental health counselor license, the NCMHCE of the NBCC.</w:t>
      </w:r>
    </w:p>
    <w:p>
      <w:pPr>
        <w:spacing w:before="0" w:after="0"/>
        <w:ind w:left="120"/>
        <w:jc w:val="both"/>
      </w:pP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The passing score on the written examination shall be the passing point criterion established by the appropriate national testing authority at the time the test was administered.</w:t>
      </w:r>
    </w:p>
    <w:p>
      <w:pPr>
        <w:spacing w:before="0" w:after="0"/>
        <w:ind w:left="120"/>
        <w:jc w:val="both"/>
      </w:pP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val="false"/>
          <w:color w:val="000000"/>
          <w:sz w:val="22"/>
        </w:rPr>
        <w:t>An applicant who is requesting approval to take the licensure examination prior to graduation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 completed online application for licensure and pay the nonrefundable licensure fee specified in rule </w:t>
      </w:r>
      <w:hyperlink r:id="rId13">
        <w:r>
          <w:rPr>
            <w:rStyle w:val="Hyperlink"/>
            <w:rFonts w:ascii="Times New Roman" w:hAnsi="Times New Roman"/>
            <w:b w:val="false"/>
            <w:i w:val="false"/>
            <w:color w:val="000000"/>
            <w:sz w:val="22"/>
          </w:rPr>
          <w:t>645—5.3</w:t>
        </w:r>
      </w:hyperlink>
      <w:r>
        <w:rPr>
          <w:rFonts w:ascii="Times New Roman" w:hAnsi="Times New Roman"/>
          <w:b w:val="false"/>
          <w:i w:val="false"/>
          <w:color w:val="000000"/>
          <w:sz w:val="22"/>
        </w:rPr>
        <w:t>(147,154D).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a letter on official school letterhead sent directly from the program director to the board indicating that the applicant is in good academic standing; that the applicant will graduate from the program within three months of the date on the letter; and the applicant’s anticipated date of graduation.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645—31.4</w:t>
      </w:r>
      <w:r>
        <w:rPr>
          <w:rFonts w:ascii="Times New Roman" w:hAnsi="Times New Roman"/>
          <w:b/>
          <w:i w:val="false"/>
          <w:color w:val="000000"/>
          <w:sz w:val="22"/>
        </w:rPr>
        <w:t xml:space="preserve">(147) </w:t>
      </w:r>
      <w:r>
        <w:rPr>
          <w:rFonts w:ascii="Times New Roman" w:hAnsi="Times New Roman"/>
          <w:b/>
          <w:i w:val="false"/>
          <w:color w:val="000000"/>
          <w:sz w:val="22"/>
        </w:rPr>
        <w:t xml:space="preserve">Professional counselor licensing compact. </w:t>
      </w:r>
      <w:r>
        <w:rPr>
          <w:rFonts w:ascii="Times New Roman" w:hAnsi="Times New Roman"/>
          <w:b w:val="false"/>
          <w:i w:val="false"/>
          <w:color w:val="000000"/>
          <w:sz w:val="22"/>
        </w:rPr>
        <w:t xml:space="preserve">The rules of the Counseling Compact Commission are incorporated by reference.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645—31.5</w:t>
      </w:r>
      <w:r>
        <w:rPr>
          <w:rFonts w:ascii="Times New Roman" w:hAnsi="Times New Roman"/>
          <w:b/>
          <w:i w:val="false"/>
          <w:color w:val="000000"/>
          <w:sz w:val="22"/>
        </w:rPr>
        <w:t xml:space="preserve">(154D) </w:t>
      </w:r>
      <w:r>
        <w:rPr>
          <w:rFonts w:ascii="Times New Roman" w:hAnsi="Times New Roman"/>
          <w:b/>
          <w:i w:val="false"/>
          <w:color w:val="000000"/>
          <w:sz w:val="22"/>
        </w:rPr>
        <w:t xml:space="preserve">Educational qualifications for marital and family therapists. </w:t>
      </w:r>
      <w:r>
        <w:rPr>
          <w:rFonts w:ascii="Times New Roman" w:hAnsi="Times New Roman"/>
          <w:b w:val="false"/>
          <w:i w:val="false"/>
          <w:color w:val="000000"/>
          <w:sz w:val="22"/>
        </w:rPr>
        <w:t xml:space="preserve">The applicant must complete the required semester credit hours, or equivalent quarter hours, of graduate level coursework in each of the content areas identified in subrule </w:t>
      </w:r>
      <w:hyperlink r:id="rId14">
        <w:r>
          <w:rPr>
            <w:rStyle w:val="Hyperlink"/>
            <w:rFonts w:ascii="Times New Roman" w:hAnsi="Times New Roman"/>
            <w:b w:val="false"/>
            <w:i w:val="false"/>
            <w:color w:val="000000"/>
            <w:sz w:val="22"/>
          </w:rPr>
          <w:t>31.5(2)</w:t>
        </w:r>
      </w:hyperlink>
      <w:r>
        <w:rPr>
          <w:rFonts w:ascii="Times New Roman" w:hAnsi="Times New Roman"/>
          <w:b w:val="false"/>
          <w:i w:val="false"/>
          <w:color w:val="000000"/>
          <w:sz w:val="22"/>
        </w:rPr>
        <w:t>; no course may be used more than once. The applicant must present proof of completion of the following educational requirements for licensure as a marital and family therapist:</w:t>
      </w:r>
    </w:p>
    <w:p>
      <w:pPr>
        <w:spacing w:before="0" w:after="0"/>
        <w:ind w:left="120"/>
        <w:jc w:val="both"/>
      </w:pP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80 quarter hours or equivalent) or a doctoral degree in marital and family therapy from a program accredited by the COAMFTE from a college or university accredited by an agency recognized by the United States Department of Education. Applicants who entered a program of study prior to July 1, 2010, must present with the application an official transcript verifying completion of a master’s degree of 45 semester hours or the equivalent; or</w:t>
      </w:r>
    </w:p>
    <w:p>
      <w:pPr>
        <w:spacing w:before="0" w:after="0"/>
        <w:ind w:left="120"/>
        <w:jc w:val="both"/>
      </w:pP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of 60 semester hours (or 80 quarter hours or equivalent) or a doctoral degree in marital and family therapy, behavioral science, or a counseling-related field from a college or university accredited by an agency recognized by the United States Department of Education, which is content-equivalent to a graduate degree in marital and family therapy. Applicants who entered a program of study prior to July 1, 2010, must present with the application an official transcript verifying completion of a master’s degree of 45 semester hours or the equivalent. Graduates from non-COAMFTE-accredited marital and family therapy programs shall provide an equivalency evaluation of the graduates’ educational credentials by the CCE, website </w:t>
      </w:r>
      <w:hyperlink r:id="rId15">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645—31.6</w:t>
      </w:r>
      <w:r>
        <w:rPr>
          <w:rFonts w:ascii="Times New Roman" w:hAnsi="Times New Roman"/>
          <w:b/>
          <w:i w:val="false"/>
          <w:color w:val="000000"/>
          <w:sz w:val="22"/>
        </w:rPr>
        <w:t xml:space="preserve">(154D) </w:t>
      </w:r>
      <w:r>
        <w:rPr>
          <w:rFonts w:ascii="Times New Roman" w:hAnsi="Times New Roman"/>
          <w:b/>
          <w:i w:val="false"/>
          <w:color w:val="000000"/>
          <w:sz w:val="22"/>
        </w:rPr>
        <w:t xml:space="preserve">Educational qualifications for mental health counselors. </w:t>
      </w:r>
      <w:r>
        <w:rPr>
          <w:rFonts w:ascii="Times New Roman" w:hAnsi="Times New Roman"/>
          <w:b w:val="false"/>
          <w:i w:val="false"/>
          <w:color w:val="000000"/>
          <w:sz w:val="22"/>
        </w:rPr>
        <w:t xml:space="preserve">The applicant must complete three semester credit hours, or equivalent quarter hours, of graduate level coursework in each of the content areas identified in subrule </w:t>
      </w:r>
      <w:hyperlink r:id="rId16">
        <w:r>
          <w:rPr>
            <w:rStyle w:val="Hyperlink"/>
            <w:rFonts w:ascii="Times New Roman" w:hAnsi="Times New Roman"/>
            <w:b w:val="false"/>
            <w:i w:val="false"/>
            <w:color w:val="000000"/>
            <w:sz w:val="22"/>
          </w:rPr>
          <w:t>31.6(2)</w:t>
        </w:r>
      </w:hyperlink>
      <w:r>
        <w:rPr>
          <w:rFonts w:ascii="Times New Roman" w:hAnsi="Times New Roman"/>
          <w:b w:val="false"/>
          <w:i w:val="false"/>
          <w:color w:val="000000"/>
          <w:sz w:val="22"/>
        </w:rPr>
        <w:t>; no course may be used to fulfill more than one content area. The applicant must present proof of completion of the following educational requirements for licensure as a mental health counselor:</w:t>
      </w:r>
    </w:p>
    <w:p>
      <w:pPr>
        <w:spacing w:before="0" w:after="0"/>
        <w:ind w:left="120"/>
        <w:jc w:val="both"/>
      </w:pP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equivalent quarter hours) or a doctoral degree in counseling with emphasis in mental health counseling from a mental health counseling program accredited by the CACREP from a college or university accredited by an agency recognized by the United States Department of Education. Applicants who entered a program of study prior to July 1, 2012, must present with the application an official transcript verifying completion of a master’s degree of 45 semester hours or the equivalent; or</w:t>
      </w:r>
    </w:p>
    <w:p>
      <w:pPr>
        <w:spacing w:before="0" w:after="0"/>
        <w:ind w:left="120"/>
        <w:jc w:val="both"/>
      </w:pP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or a doctoral degree from a college or university accredited by an agency recognized by the United States Department of Education that is content-equivalent to a master’s degree in counseling with emphasis in mental health counseling. Graduates from non-CACREP accredited mental health counseling programs shall provide an equivalency evaluation of their educational credentials by the CCE, website </w:t>
      </w:r>
      <w:hyperlink r:id="rId17">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31.6(3)</w:t>
      </w:r>
      <w:r>
        <w:rPr>
          <w:rFonts w:ascii="Times New Roman" w:hAnsi="Times New Roman"/>
          <w:b w:val="false"/>
          <w:i w:val="false"/>
          <w:color w:val="000000"/>
          <w:sz w:val="22"/>
        </w:rPr>
        <w:t> </w:t>
      </w:r>
      <w:r>
        <w:rPr>
          <w:rFonts w:ascii="Times New Roman" w:hAnsi="Times New Roman"/>
          <w:b w:val="false"/>
          <w:i/>
          <w:color w:val="000000"/>
          <w:sz w:val="22"/>
        </w:rPr>
        <w:t xml:space="preserve">Foreign-trained marital and family therapists or mental health counselors. </w:t>
      </w:r>
      <w:r>
        <w:rPr>
          <w:rFonts w:ascii="Times New Roman" w:hAnsi="Times New Roman"/>
          <w:b w:val="false"/>
          <w:i w:val="false"/>
          <w:color w:val="000000"/>
          <w:sz w:val="22"/>
        </w:rPr>
        <w:t>Foreign-trained marital and family therapists or mental health counselors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Provide an equivalency evaluation of their educational credentials by the following: International Education Research Foundation, Inc., Credentials Evaluation Service, P.O. Box 3665, Culver City, CA 90231-3665; telephone 310.258.9451; website </w:t>
      </w:r>
      <w:hyperlink r:id="rId18">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9">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A candidate shall bear the expense of the curriculum evaluation.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645—31.7</w:t>
      </w:r>
      <w:r>
        <w:rPr>
          <w:rFonts w:ascii="Times New Roman" w:hAnsi="Times New Roman"/>
          <w:b/>
          <w:i w:val="false"/>
          <w:color w:val="000000"/>
          <w:sz w:val="22"/>
        </w:rPr>
        <w:t xml:space="preserve">(154D) </w:t>
      </w:r>
      <w:r>
        <w:rPr>
          <w:rFonts w:ascii="Times New Roman" w:hAnsi="Times New Roman"/>
          <w:b/>
          <w:i w:val="false"/>
          <w:color w:val="000000"/>
          <w:sz w:val="22"/>
        </w:rPr>
        <w:t xml:space="preserve">Supervised clinical experience. </w:t>
      </w:r>
      <w:r>
        <w:rPr>
          <w:rFonts w:ascii="Times New Roman" w:hAnsi="Times New Roman"/>
          <w:b w:val="false"/>
          <w:i w:val="false"/>
          <w:color w:val="000000"/>
          <w:sz w:val="22"/>
        </w:rPr>
        <w:t>An applicant for licensure as a mental health counselor or marital and family therapist must complete a supervised clinical experience as set forth in this rule.</w:t>
      </w:r>
    </w:p>
    <w:p>
      <w:pPr>
        <w:spacing w:before="0" w:after="0"/>
        <w:ind w:left="120"/>
        <w:jc w:val="both"/>
      </w:pP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supervised clinical experience must satisfy all of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Timing. </w:t>
      </w:r>
      <w:r>
        <w:rPr>
          <w:rFonts w:ascii="Times New Roman" w:hAnsi="Times New Roman"/>
          <w:b w:val="false"/>
          <w:i w:val="false"/>
          <w:color w:val="000000"/>
          <w:sz w:val="22"/>
        </w:rPr>
        <w:t>The supervised clinical experience cannot begin until after all graduate coursework has been completed with the exception of the thesis.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Duration. </w:t>
      </w:r>
      <w:r>
        <w:rPr>
          <w:rFonts w:ascii="Times New Roman" w:hAnsi="Times New Roman"/>
          <w:b w:val="false"/>
          <w:i w:val="false"/>
          <w:color w:val="000000"/>
          <w:sz w:val="22"/>
        </w:rPr>
        <w:t>The supervised clinical experience must be for a minimum of two years.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The supervised clinical experience must consist of at least 3,000 hours of practice.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number of direct client hours. </w:t>
      </w:r>
      <w:r>
        <w:rPr>
          <w:rFonts w:ascii="Times New Roman" w:hAnsi="Times New Roman"/>
          <w:b w:val="false"/>
          <w:i w:val="false"/>
          <w:color w:val="000000"/>
          <w:sz w:val="22"/>
        </w:rPr>
        <w:t>The supervised clinical experience will consist of at least 1,500 hours of direct client contact.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number of direct supervision hours. </w:t>
      </w:r>
      <w:r>
        <w:rPr>
          <w:rFonts w:ascii="Times New Roman" w:hAnsi="Times New Roman"/>
          <w:b w:val="false"/>
          <w:i w:val="false"/>
          <w:color w:val="000000"/>
          <w:sz w:val="22"/>
        </w:rPr>
        <w:t>The supervised clinical experience will consist of at least 110 hours of direct supervision equitably distributed throughout the supervised clinical experience, including at least 24 hours of live or recorded direct observation of client interaction. A maximum of 50 hours of direct supervision may be obtained through group supervision. Direct supervision can occur in person or by using videoconferencing. After 110 hours of direct supervision are complete, ongoing direct supervision will continue to occur for the remainder of the supervised clinical experience.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Number of supervisors. </w:t>
      </w:r>
      <w:r>
        <w:rPr>
          <w:rFonts w:ascii="Times New Roman" w:hAnsi="Times New Roman"/>
          <w:b w:val="false"/>
          <w:i w:val="false"/>
          <w:color w:val="000000"/>
          <w:sz w:val="22"/>
        </w:rPr>
        <w:t>A supervisee may utilize a maximum of four supervisors at any given time. A supervisee is responsible for notifying each supervisor if another supervisor is also being utilized to allow for coordination as appropriate.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Number of supervisees. </w:t>
      </w:r>
      <w:r>
        <w:rPr>
          <w:rFonts w:ascii="Times New Roman" w:hAnsi="Times New Roman"/>
          <w:b w:val="false"/>
          <w:i w:val="false"/>
          <w:color w:val="000000"/>
          <w:sz w:val="22"/>
        </w:rPr>
        <w:t>A supervisor will determine the number of supervisees who can be supervised safely and competently and will not exceed that number.</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Content. </w:t>
      </w:r>
      <w:r>
        <w:rPr>
          <w:rFonts w:ascii="Times New Roman" w:hAnsi="Times New Roman"/>
          <w:b w:val="false"/>
          <w:i w:val="false"/>
          <w:color w:val="000000"/>
          <w:sz w:val="22"/>
        </w:rPr>
        <w:t>The supervised clinical experience must involve performing psychosocial assessments, diagnostic practice using the current edition of the Diagnostic and Statistical Manual of Mental Disorders (DSM-5-TR) published March 2022, and providing treatment, including the establishment of treatment goals, psychosocial therapy using evidence-based therapeutic modalities, and differential treatment planning. The supervised clinical experience will prepare the supervisee for independent practice and must include training on practice management, ethical standards, legal and regulatory requirements, documentation, coordination of care, and self-care.</w:t>
      </w:r>
    </w:p>
    <w:p>
      <w:pPr>
        <w:spacing w:before="0" w:after="0"/>
        <w:ind w:left="120"/>
        <w:jc w:val="both"/>
      </w:pP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color w:val="000000"/>
          <w:sz w:val="22"/>
        </w:rPr>
        <w:t xml:space="preserve">Eligible supervisors. </w:t>
      </w:r>
      <w:r>
        <w:rPr>
          <w:rFonts w:ascii="Times New Roman" w:hAnsi="Times New Roman"/>
          <w:b w:val="false"/>
          <w:i w:val="false"/>
          <w:color w:val="000000"/>
          <w:sz w:val="22"/>
        </w:rPr>
        <w:t>A supervisor must satisfy all of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Hold an active license as an independent level social worker, mental health counselor, or marital and family therapist in Iowa.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a minimum of three years of independent practice.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completed at least a six-hour continuing education course in supervision or one graduate-level course in supervision.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knowledgeable of the applicable ethical code and licensing rules governing the supervisee.</w:t>
      </w:r>
    </w:p>
    <w:p>
      <w:pPr>
        <w:spacing w:before="0" w:after="0"/>
        <w:ind w:left="120"/>
        <w:jc w:val="both"/>
      </w:pPr>
      <w:r>
        <w:rPr>
          <w:rFonts w:ascii="Times New Roman" w:hAnsi="Times New Roman"/>
          <w:b w:val="false"/>
          <w:i w:val="false"/>
          <w:color w:val="000000"/>
          <w:sz w:val="22"/>
        </w:rPr>
        <w:t>Any request for a supervisor who does not meet these requirements must be approved by the board before supervision begins.</w:t>
      </w:r>
    </w:p>
    <w:p>
      <w:pPr>
        <w:spacing w:before="0" w:after="0"/>
        <w:ind w:left="120"/>
        <w:jc w:val="both"/>
      </w:pPr>
      <w:r>
        <w:rPr>
          <w:rFonts w:ascii="Times New Roman" w:hAnsi="Times New Roman"/>
          <w:b/>
          <w:i w:val="false"/>
          <w:color w:val="000000"/>
          <w:sz w:val="22"/>
        </w:rPr>
        <w:t>31.7(3)</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beginning supervision, the supervisee will submit a written supervision plan to the board using the current form published by the board. The supervisee will also submit a written supervision plan to the board prior to beginning supervision with a new supervisor.</w:t>
      </w:r>
    </w:p>
    <w:p>
      <w:pPr>
        <w:spacing w:before="0" w:after="0"/>
        <w:ind w:left="120"/>
        <w:jc w:val="both"/>
      </w:pPr>
      <w:r>
        <w:rPr>
          <w:rFonts w:ascii="Times New Roman" w:hAnsi="Times New Roman"/>
          <w:b/>
          <w:i w:val="false"/>
          <w:color w:val="000000"/>
          <w:sz w:val="22"/>
        </w:rPr>
        <w:t>31.7(4)</w:t>
      </w:r>
      <w:r>
        <w:rPr>
          <w:rFonts w:ascii="Times New Roman" w:hAnsi="Times New Roman"/>
          <w:b w:val="false"/>
          <w:i w:val="false"/>
          <w:color w:val="000000"/>
          <w:sz w:val="22"/>
        </w:rPr>
        <w:t> </w:t>
      </w:r>
      <w:r>
        <w:rPr>
          <w:rFonts w:ascii="Times New Roman" w:hAnsi="Times New Roman"/>
          <w:b w:val="false"/>
          <w:i/>
          <w:color w:val="000000"/>
          <w:sz w:val="22"/>
        </w:rPr>
        <w:t xml:space="preserve">Supervision report. </w:t>
      </w:r>
      <w:r>
        <w:rPr>
          <w:rFonts w:ascii="Times New Roman" w:hAnsi="Times New Roman"/>
          <w:b w:val="false"/>
          <w:i w:val="false"/>
          <w:color w:val="000000"/>
          <w:sz w:val="22"/>
        </w:rPr>
        <w:t>When supervision is complete, or when a supervisor ceases providing supervision to the supervisee, the supervisee will ensure a completed supervision report using the current form published by the board is submitted to the board. If the supervisor reports that the supervisee is not adequately prepared for independent licensure, or reports violations of the board’s rules or applicable ethical code, the board may require the supervisee to complete additional supervision or training as deemed appropriate prior to licensure.</w:t>
      </w:r>
    </w:p>
    <w:p>
      <w:pPr>
        <w:spacing w:before="0" w:after="0"/>
        <w:ind w:left="120"/>
        <w:jc w:val="both"/>
      </w:pPr>
      <w:r>
        <w:rPr>
          <w:rFonts w:ascii="Times New Roman" w:hAnsi="Times New Roman"/>
          <w:b/>
          <w:i w:val="false"/>
          <w:color w:val="000000"/>
          <w:sz w:val="22"/>
        </w:rPr>
        <w:t>31.7(5)</w:t>
      </w:r>
      <w:r>
        <w:rPr>
          <w:rFonts w:ascii="Times New Roman" w:hAnsi="Times New Roman"/>
          <w:b w:val="false"/>
          <w:i w:val="false"/>
          <w:color w:val="000000"/>
          <w:sz w:val="22"/>
        </w:rPr>
        <w:t> </w:t>
      </w:r>
      <w:r>
        <w:rPr>
          <w:rFonts w:ascii="Times New Roman" w:hAnsi="Times New Roman"/>
          <w:b w:val="false"/>
          <w:i/>
          <w:color w:val="000000"/>
          <w:sz w:val="22"/>
        </w:rPr>
        <w:t xml:space="preserve">Supervised clinical experience in other states. </w:t>
      </w:r>
      <w:r>
        <w:rPr>
          <w:rFonts w:ascii="Times New Roman" w:hAnsi="Times New Roman"/>
          <w:b w:val="false"/>
          <w:i w:val="false"/>
          <w:color w:val="000000"/>
          <w:sz w:val="22"/>
        </w:rPr>
        <w:t>An applicant who completed some or all of the supervised clinical experience in another state without obtaining licensure in that state should contact the board to determine whether some or all of the supervised clinical experience that has been completed can be used to qualify for licensure in Iowa.</w:t>
      </w:r>
    </w:p>
    <w:p>
      <w:pPr>
        <w:spacing w:before="0" w:after="0"/>
        <w:ind w:left="120"/>
        <w:jc w:val="both"/>
      </w:pPr>
      <w:r>
        <w:rPr>
          <w:rFonts w:ascii="Times New Roman" w:hAnsi="Times New Roman"/>
          <w:b/>
          <w:i w:val="false"/>
          <w:color w:val="000000"/>
          <w:sz w:val="22"/>
        </w:rPr>
        <w:t>31.7(6)</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Any new or additional requirements imposed by this rule do not apply to supervision that started prior to July 20,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645—31.8</w:t>
      </w:r>
      <w:r>
        <w:rPr>
          <w:rFonts w:ascii="Times New Roman" w:hAnsi="Times New Roman"/>
          <w:b/>
          <w:i w:val="false"/>
          <w:color w:val="000000"/>
          <w:sz w:val="22"/>
        </w:rPr>
        <w:t xml:space="preserve">(154D) </w:t>
      </w:r>
      <w:r>
        <w:rPr>
          <w:rFonts w:ascii="Times New Roman" w:hAnsi="Times New Roman"/>
          <w:b/>
          <w:i w:val="false"/>
          <w:color w:val="000000"/>
          <w:sz w:val="22"/>
        </w:rPr>
        <w:t xml:space="preserve">Licensure by endorsement for mental health counselors and marital and family therapists. </w:t>
      </w:r>
      <w:r>
        <w:rPr>
          <w:rFonts w:ascii="Times New Roman" w:hAnsi="Times New Roman"/>
          <w:b w:val="false"/>
          <w:i w:val="false"/>
          <w:color w:val="000000"/>
          <w:sz w:val="22"/>
        </w:rPr>
        <w:t>An applicant who has been a licensed marriage and family therapist or mental health counselor under the laws of another jurisdiction may file an application for licensure by endorsement with the board office.</w:t>
      </w:r>
    </w:p>
    <w:p>
      <w:pPr>
        <w:spacing w:before="0" w:after="0"/>
        <w:ind w:left="120"/>
        <w:jc w:val="both"/>
      </w:pP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or another state, territory, province or foreign country who: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Meets the requirements of rule </w:t>
      </w:r>
      <w:hyperlink r:id="rId20">
        <w:r>
          <w:rPr>
            <w:rStyle w:val="Hyperlink"/>
            <w:rFonts w:ascii="Times New Roman" w:hAnsi="Times New Roman"/>
            <w:b w:val="false"/>
            <w:i w:val="false"/>
            <w:color w:val="000000"/>
            <w:sz w:val="22"/>
          </w:rPr>
          <w:t>645—31.2</w:t>
        </w:r>
      </w:hyperlink>
      <w:r>
        <w:rPr>
          <w:rFonts w:ascii="Times New Roman" w:hAnsi="Times New Roman"/>
          <w:b w:val="false"/>
          <w:i w:val="false"/>
          <w:color w:val="000000"/>
          <w:sz w:val="22"/>
        </w:rPr>
        <w:t>(154D);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meeting the requirements of subrules </w:t>
      </w:r>
      <w:hyperlink r:id="rId21">
        <w:r>
          <w:rPr>
            <w:rStyle w:val="Hyperlink"/>
            <w:rFonts w:ascii="Times New Roman" w:hAnsi="Times New Roman"/>
            <w:b w:val="false"/>
            <w:i w:val="false"/>
            <w:color w:val="000000"/>
            <w:sz w:val="22"/>
          </w:rPr>
          <w:t>31.2(4)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31.2(5)</w:t>
        </w:r>
      </w:hyperlink>
      <w:r>
        <w:rPr>
          <w:rFonts w:ascii="Times New Roman" w:hAnsi="Times New Roman"/>
          <w:b w:val="false"/>
          <w:i w:val="false"/>
          <w:color w:val="000000"/>
          <w:sz w:val="22"/>
        </w:rPr>
        <w:t>, applicants who meet the qualifications below may instead submit documentation demonstrating how each of the qualifications below is satisfied: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possesses a master’s degree or higher in mental health counseling or marital and family therapy or an equivalent counseling-related field;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does not have any past or pending disciplinary action from any state licensing boards related to any mental health counseling or marital and family therapy license currently or previously held by the applicant.</w:t>
      </w:r>
    </w:p>
    <w:p>
      <w:pPr>
        <w:spacing w:before="0" w:after="0"/>
        <w:ind w:left="120"/>
        <w:jc w:val="both"/>
      </w:pP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23">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645—31.9</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of behavior analysts and assistant behavior analysts. </w:t>
      </w:r>
    </w:p>
    <w:p>
      <w:pPr>
        <w:spacing w:before="0" w:after="0"/>
        <w:ind w:left="120"/>
        <w:jc w:val="both"/>
      </w:pP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24">
        <w:r>
          <w:rPr>
            <w:rStyle w:val="Hyperlink"/>
            <w:rFonts w:ascii="Times New Roman" w:hAnsi="Times New Roman"/>
            <w:b w:val="false"/>
            <w:i w:val="false"/>
            <w:color w:val="000000"/>
            <w:sz w:val="22"/>
          </w:rPr>
          <w:t>645—5.3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val="false"/>
          <w:color w:val="000000"/>
          <w:sz w:val="22"/>
        </w:rPr>
        <w:t>For licensure as a behavior analyst, the applicant shall submit proof of current BACB certification as a board-certified behavior analyst or board-certified behavior analyst-doctoral. For licensure as an assistant behavior analyst, the applicant shall submit proof of current BACB certification as a board-certified assistant behavior analyst.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for mental health counselors and marriage and family therapists. </w:t>
      </w:r>
    </w:p>
    <w:p>
      <w:pPr>
        <w:spacing w:before="0" w:after="0"/>
        <w:ind w:left="120"/>
        <w:jc w:val="both"/>
      </w:pPr>
      <w:r>
        <w:rPr>
          <w:rFonts w:ascii="Times New Roman" w:hAnsi="Times New Roman"/>
          <w:b/>
          <w:i w:val="false"/>
          <w:color w:val="000000"/>
          <w:sz w:val="22"/>
        </w:rPr>
        <w:t>31.10(1)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marital and family therapy or mental health counseling shall begin on October 1 of an even-numbered year and end on September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i w:val="false"/>
          <w:color w:val="000000"/>
          <w:sz w:val="22"/>
        </w:rPr>
        <w:t>31.10(2)</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25">
        <w:r>
          <w:rPr>
            <w:rStyle w:val="Hyperlink"/>
            <w:rFonts w:ascii="Times New Roman" w:hAnsi="Times New Roman"/>
            <w:b w:val="false"/>
            <w:i w:val="false"/>
            <w:color w:val="000000"/>
            <w:sz w:val="22"/>
          </w:rPr>
          <w:t>645—32.2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i w:val="false"/>
          <w:color w:val="000000"/>
          <w:sz w:val="22"/>
        </w:rPr>
        <w:t>31.10(3)</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26">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27">
        <w:r>
          <w:rPr>
            <w:rStyle w:val="Hyperlink"/>
            <w:rFonts w:ascii="Times New Roman" w:hAnsi="Times New Roman"/>
            <w:b w:val="false"/>
            <w:i w:val="false"/>
            <w:color w:val="000000"/>
            <w:sz w:val="22"/>
          </w:rPr>
          <w:t>31.10(3)</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two hours of training in dependent adult abuse identification and reporting as required by Iowa Code section </w:t>
      </w:r>
      <w:hyperlink r:id="rId28">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29">
        <w:r>
          <w:rPr>
            <w:rStyle w:val="Hyperlink"/>
            <w:rFonts w:ascii="Times New Roman" w:hAnsi="Times New Roman"/>
            <w:b w:val="false"/>
            <w:i w:val="false"/>
            <w:color w:val="000000"/>
            <w:sz w:val="22"/>
          </w:rPr>
          <w:t>31.10(3)</w:t>
        </w:r>
      </w:hyperlink>
      <w:r>
        <w:rPr>
          <w:rFonts w:ascii="Times New Roman" w:hAnsi="Times New Roman"/>
          <w:b w:val="false"/>
          <w:i/>
          <w:color w:val="000000"/>
          <w:sz w:val="22"/>
        </w:rPr>
        <w:t>“d.”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licensee shall maintain written documentation for five years after mandatory training as identified in paragraphs </w:t>
      </w:r>
      <w:hyperlink r:id="rId30">
        <w:r>
          <w:rPr>
            <w:rStyle w:val="Hyperlink"/>
            <w:rFonts w:ascii="Times New Roman" w:hAnsi="Times New Roman"/>
            <w:b w:val="false"/>
            <w:i w:val="false"/>
            <w:color w:val="000000"/>
            <w:sz w:val="22"/>
          </w:rPr>
          <w:t>31.10(3)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program date(s), content, duration, and proof of participation.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31">
        <w:r>
          <w:rPr>
            <w:rStyle w:val="Hyperlink"/>
            <w:rFonts w:ascii="Times New Roman" w:hAnsi="Times New Roman"/>
            <w:b w:val="false"/>
            <w:i w:val="false"/>
            <w:color w:val="000000"/>
            <w:sz w:val="22"/>
          </w:rPr>
          <w:t>645—Chapter 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hyperlink r:id="rId32">
        <w:r>
          <w:rPr>
            <w:rStyle w:val="Hyperlink"/>
            <w:rFonts w:ascii="Times New Roman" w:hAnsi="Times New Roman"/>
            <w:b w:val="false"/>
            <w:i w:val="false"/>
            <w:color w:val="000000"/>
            <w:sz w:val="22"/>
          </w:rPr>
          <w:t>31.10(3)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p>
    <w:p>
      <w:pPr>
        <w:spacing w:before="0" w:after="0"/>
        <w:ind w:left="120"/>
        <w:jc w:val="both"/>
      </w:pPr>
      <w:r>
        <w:rPr>
          <w:rFonts w:ascii="Times New Roman" w:hAnsi="Times New Roman"/>
          <w:b/>
          <w:i w:val="false"/>
          <w:color w:val="000000"/>
          <w:sz w:val="22"/>
        </w:rPr>
        <w:t>31.10(4)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31.10(5)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marital and family therapist or mental health counselor shall keep the person’s license certificate and wallet card displayed in a conspicuous public place at the primary site of practice.</w:t>
      </w:r>
    </w:p>
    <w:p>
      <w:pPr>
        <w:spacing w:before="0" w:after="0"/>
        <w:ind w:left="120"/>
        <w:jc w:val="both"/>
      </w:pPr>
      <w:r>
        <w:rPr>
          <w:rFonts w:ascii="Times New Roman" w:hAnsi="Times New Roman"/>
          <w:b/>
          <w:i w:val="false"/>
          <w:color w:val="000000"/>
          <w:sz w:val="22"/>
        </w:rPr>
        <w:t>31.10(6)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wallet card. The licensee shall be assessed a late fee as specified in </w:t>
      </w:r>
      <w:hyperlink r:id="rId33">
        <w:r>
          <w:rPr>
            <w:rStyle w:val="Hyperlink"/>
            <w:rFonts w:ascii="Times New Roman" w:hAnsi="Times New Roman"/>
            <w:b w:val="false"/>
            <w:i w:val="false"/>
            <w:color w:val="000000"/>
            <w:sz w:val="22"/>
          </w:rPr>
          <w:t>645—subrule 5.3(3)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i w:val="false"/>
          <w:color w:val="000000"/>
          <w:sz w:val="22"/>
        </w:rPr>
        <w:t>31.10(7)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mental health counseling or marital and family therapy in Iowa until the license is reactivated. A licensee who practices mental health counseling or marital and family therapy in the state of Iowa with an inactive license may be subject to disciplinary action by the board, injunctive action pursuant to Iowa Code section </w:t>
      </w:r>
      <w:hyperlink r:id="rId3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645—31.11</w:t>
      </w:r>
      <w:r>
        <w:rPr>
          <w:rFonts w:ascii="Times New Roman" w:hAnsi="Times New Roman"/>
          <w:b/>
          <w:i w:val="false"/>
          <w:color w:val="000000"/>
          <w:sz w:val="22"/>
        </w:rPr>
        <w:t xml:space="preserve">(272C) </w:t>
      </w:r>
      <w:r>
        <w:rPr>
          <w:rFonts w:ascii="Times New Roman" w:hAnsi="Times New Roman"/>
          <w:b/>
          <w:i w:val="false"/>
          <w:color w:val="000000"/>
          <w:sz w:val="22"/>
        </w:rPr>
        <w:t xml:space="preserve">Initial licensing, reactivation, and license renewal for behavior analysts and assistant behavior analysts. </w:t>
      </w:r>
    </w:p>
    <w:p>
      <w:pPr>
        <w:spacing w:before="0" w:after="0"/>
        <w:ind w:left="120"/>
        <w:jc w:val="both"/>
      </w:pPr>
      <w:r>
        <w:rPr>
          <w:rFonts w:ascii="Times New Roman" w:hAnsi="Times New Roman"/>
          <w:b/>
          <w:i w:val="false"/>
          <w:color w:val="000000"/>
          <w:sz w:val="22"/>
        </w:rPr>
        <w:t>31.11(1)</w:t>
      </w:r>
      <w:r>
        <w:rPr>
          <w:rFonts w:ascii="Times New Roman" w:hAnsi="Times New Roman"/>
          <w:b w:val="false"/>
          <w:i w:val="false"/>
          <w:color w:val="000000"/>
          <w:sz w:val="22"/>
        </w:rPr>
        <w:t> </w:t>
      </w:r>
      <w:r>
        <w:rPr>
          <w:rFonts w:ascii="Times New Roman" w:hAnsi="Times New Roman"/>
          <w:b w:val="false"/>
          <w:i w:val="false"/>
          <w:color w:val="000000"/>
          <w:sz w:val="22"/>
        </w:rPr>
        <w:t>An initial license for a behavior analyst or assistant behavior analyst shall be issued with the same expiration date as the applicant’s current certification issued by BACB.</w:t>
      </w:r>
    </w:p>
    <w:p>
      <w:pPr>
        <w:spacing w:before="0" w:after="0"/>
        <w:ind w:left="120"/>
        <w:jc w:val="both"/>
      </w:pPr>
      <w:r>
        <w:rPr>
          <w:rFonts w:ascii="Times New Roman" w:hAnsi="Times New Roman"/>
          <w:b/>
          <w:i w:val="false"/>
          <w:color w:val="000000"/>
          <w:sz w:val="22"/>
        </w:rPr>
        <w:t>31.11(2)</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behavior analyst or assistant behavior analyst shall run concurrent with the licensee’s BACB certification. Each license renewed shall be given the expiration date that is on the licensee’s current BACB certification.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i w:val="false"/>
          <w:color w:val="000000"/>
          <w:sz w:val="22"/>
        </w:rPr>
        <w:t>31.11(3)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Meet the continuing education requirements required by BACB to renew a certification.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 current certification as a board-certified behavior analyst, board-certified behavior analyst-doctoral, or board-certified assistant behavior analyst issued by BACB.</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31.11(4)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31.11(5)</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behavior analyst or assistant behavior analyst shall keep the person’s license certificate and renewal displayed in a conspicuous public place at the primary site of practice.</w:t>
      </w:r>
    </w:p>
    <w:p>
      <w:pPr>
        <w:spacing w:before="0" w:after="0"/>
        <w:ind w:left="120"/>
        <w:jc w:val="both"/>
      </w:pPr>
      <w:r>
        <w:rPr>
          <w:rFonts w:ascii="Times New Roman" w:hAnsi="Times New Roman"/>
          <w:b/>
          <w:i w:val="false"/>
          <w:color w:val="000000"/>
          <w:sz w:val="22"/>
        </w:rPr>
        <w:t>31.11(6)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36">
        <w:r>
          <w:rPr>
            <w:rStyle w:val="Hyperlink"/>
            <w:rFonts w:ascii="Times New Roman" w:hAnsi="Times New Roman"/>
            <w:b w:val="false"/>
            <w:i w:val="false"/>
            <w:color w:val="000000"/>
            <w:sz w:val="22"/>
          </w:rPr>
          <w:t>645—subrule 5.3(5)</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i w:val="false"/>
          <w:color w:val="000000"/>
          <w:sz w:val="22"/>
        </w:rPr>
        <w:t>31.11(7)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engage in the practice of applied behavior analysis for which a license is required in Iowa until the license is reactivated. A licensee who practices applied behavior analysis in a capacity that requires licensure in the state of Iowa with an inactive license may be subject to disciplinary action by the board, injunctive action pursuant to Iowa Code section </w:t>
      </w:r>
      <w:hyperlink r:id="rId37">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8">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i w:val="false"/>
          <w:color w:val="000000"/>
          <w:sz w:val="22"/>
        </w:rPr>
        <w:t>31.11(8)</w:t>
      </w:r>
      <w:r>
        <w:rPr>
          <w:rFonts w:ascii="Times New Roman" w:hAnsi="Times New Roman"/>
          <w:b w:val="false"/>
          <w:i w:val="false"/>
          <w:color w:val="000000"/>
          <w:sz w:val="22"/>
        </w:rPr>
        <w:t> </w:t>
      </w:r>
      <w:r>
        <w:rPr>
          <w:rFonts w:ascii="Times New Roman" w:hAnsi="Times New Roman"/>
          <w:b w:val="false"/>
          <w:i w:val="false"/>
          <w:color w:val="000000"/>
          <w:sz w:val="22"/>
        </w:rPr>
        <w:t xml:space="preserve">Reactivation. To apply for reactivation of an inactive license, a licensee shall submit a completed renewal application and proof of current certification and shall be assessed a reactivation fee as specified in </w:t>
      </w:r>
      <w:hyperlink r:id="rId39">
        <w:r>
          <w:rPr>
            <w:rStyle w:val="Hyperlink"/>
            <w:rFonts w:ascii="Times New Roman" w:hAnsi="Times New Roman"/>
            <w:b w:val="false"/>
            <w:i w:val="false"/>
            <w:color w:val="000000"/>
            <w:sz w:val="22"/>
          </w:rPr>
          <w:t>645—subrule 5.3(6)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645—31.12</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Licensee recordkeeping. </w:t>
      </w:r>
    </w:p>
    <w:p>
      <w:pPr>
        <w:spacing w:before="0" w:after="0"/>
        <w:ind w:left="120"/>
        <w:jc w:val="both"/>
      </w:pPr>
      <w:r>
        <w:rPr>
          <w:rFonts w:ascii="Times New Roman" w:hAnsi="Times New Roman"/>
          <w:b/>
          <w:i w:val="false"/>
          <w:color w:val="000000"/>
          <w:sz w:val="22"/>
        </w:rPr>
        <w:t>31.12(1)</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sufficient, timely, and accurate documentation in client records.</w:t>
      </w:r>
    </w:p>
    <w:p>
      <w:pPr>
        <w:spacing w:before="0" w:after="0"/>
        <w:ind w:left="120"/>
        <w:jc w:val="both"/>
      </w:pPr>
      <w:r>
        <w:rPr>
          <w:rFonts w:ascii="Times New Roman" w:hAnsi="Times New Roman"/>
          <w:b/>
          <w:i w:val="false"/>
          <w:color w:val="000000"/>
          <w:sz w:val="22"/>
        </w:rPr>
        <w:t>31.12(2)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“client” means the individual, couple, family, or group to whom a licensee provides direct clinical services.</w:t>
      </w:r>
    </w:p>
    <w:p>
      <w:pPr>
        <w:spacing w:before="0" w:after="0"/>
        <w:ind w:left="120"/>
        <w:jc w:val="both"/>
      </w:pPr>
      <w:r>
        <w:rPr>
          <w:rFonts w:ascii="Times New Roman" w:hAnsi="Times New Roman"/>
          <w:b/>
          <w:i w:val="false"/>
          <w:color w:val="000000"/>
          <w:sz w:val="22"/>
        </w:rPr>
        <w:t>31.12(3)</w:t>
      </w:r>
      <w:r>
        <w:rPr>
          <w:rFonts w:ascii="Times New Roman" w:hAnsi="Times New Roman"/>
          <w:b w:val="false"/>
          <w:i w:val="false"/>
          <w:color w:val="000000"/>
          <w:sz w:val="22"/>
        </w:rPr>
        <w:t> </w:t>
      </w:r>
      <w:r>
        <w:rPr>
          <w:rFonts w:ascii="Times New Roman" w:hAnsi="Times New Roman"/>
          <w:b w:val="false"/>
          <w:i w:val="false"/>
          <w:color w:val="000000"/>
          <w:sz w:val="22"/>
        </w:rPr>
        <w:t>A licensee’s records shall reflect the services provided, facilitate the delivery of services, and ensure continuity of services in the future.</w:t>
      </w:r>
    </w:p>
    <w:p>
      <w:pPr>
        <w:spacing w:before="0" w:after="0"/>
        <w:ind w:left="120"/>
        <w:jc w:val="both"/>
      </w:pPr>
      <w:r>
        <w:rPr>
          <w:rFonts w:ascii="Times New Roman" w:hAnsi="Times New Roman"/>
          <w:b/>
          <w:i w:val="false"/>
          <w:color w:val="000000"/>
          <w:sz w:val="22"/>
        </w:rPr>
        <w:t>31.12(4)</w:t>
      </w:r>
      <w:r>
        <w:rPr>
          <w:rFonts w:ascii="Times New Roman" w:hAnsi="Times New Roman"/>
          <w:b w:val="false"/>
          <w:i w:val="false"/>
          <w:color w:val="000000"/>
          <w:sz w:val="22"/>
        </w:rPr>
        <w:t> </w:t>
      </w:r>
      <w:r>
        <w:rPr>
          <w:rFonts w:ascii="Times New Roman" w:hAnsi="Times New Roman"/>
          <w:b w:val="false"/>
          <w:i w:val="false"/>
          <w:color w:val="000000"/>
          <w:sz w:val="22"/>
        </w:rPr>
        <w:t>Clinical services. A licensee who provides clinical services in any employment setting, including private practice,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Store records in accordance with state and federal statutes and regulations governing record retention and with the guidelines of the licensee’s employer or agency, if applicable. If no other legal provisions govern record retention, a licensee shall store all client records for a minimum of seven years after the date of the client’s discharge or death, or, in the case of a minor, for three years after the client reaches the age of majority under state law or seven years after the date of the client’s discharge or death, whichever is longer.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 timely records that include subjective and objective data, an assessment, a treatment plan, and any revisions to the assessment or plan made during the course of treatment.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the client with reasonable access to records concerning the client. A licensee who is concerned that a client’s access to the client’s records could cause serious misunderstanding or harm to the client shall provide assistance in interpreting the records and consultation with the client regarding the records. A licensee may limit a client’s access to the client’s records, or portions of the records, only in exceptional circumstances when there is compelling evidence that such access would cause serious harm to the client. Both the client’s request for access and the licensee’s rationale for withholding some or all of a record shall be documented in the client’s records.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i w:val="false"/>
          <w:color w:val="000000"/>
          <w:sz w:val="22"/>
        </w:rPr>
        <w:t>31.12(5)</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i w:val="false"/>
          <w:color w:val="000000"/>
          <w:sz w:val="22"/>
        </w:rPr>
        <w:t>31.12(6)</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Hard-copy records. Original notations shall be legible, written in ink, and contain no erasures or whiteouts. If incorrect information is placed in the original record, it must be crossed out with a single, nondeleting line and be initialed and dated by the licensee.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Electronic records. If a record is stored in an electronic format, the record may be amended with a signed addendum attached to the record.</w:t>
      </w:r>
    </w:p>
    <w:p>
      <w:pPr>
        <w:spacing w:before="0" w:after="0"/>
        <w:ind w:left="120"/>
        <w:jc w:val="both"/>
      </w:pPr>
      <w:r>
        <w:rPr>
          <w:rFonts w:ascii="Times New Roman" w:hAnsi="Times New Roman"/>
          <w:b/>
          <w:i w:val="false"/>
          <w:color w:val="000000"/>
          <w:sz w:val="22"/>
        </w:rPr>
        <w:t>31.12(7)</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Marital and family therapists or mental health counselors shall preserve the confidentiality of client records in accordance with their respective rules of conduct and with federal and state law. Upon receipt of a written release or authorization signed by the client, the licensee shall furnish such therapy records, or copies of the records, as will be beneficial for the future treatment of that client. A fee may be charged for duplication of records, but a licensee may not refuse to transfer records for nonpayment of any fees. A written request may be required before transferring the record(s).</w:t>
      </w:r>
    </w:p>
    <w:p>
      <w:pPr>
        <w:spacing w:before="0" w:after="0"/>
        <w:ind w:left="120"/>
        <w:jc w:val="both"/>
      </w:pPr>
      <w:r>
        <w:rPr>
          <w:rFonts w:ascii="Times New Roman" w:hAnsi="Times New Roman"/>
          <w:b/>
          <w:i w:val="false"/>
          <w:color w:val="000000"/>
          <w:sz w:val="22"/>
        </w:rPr>
        <w:t>31.12(8)</w:t>
      </w:r>
      <w:r>
        <w:rPr>
          <w:rFonts w:ascii="Times New Roman" w:hAnsi="Times New Roman"/>
          <w:b w:val="false"/>
          <w:i w:val="false"/>
          <w:color w:val="000000"/>
          <w:sz w:val="22"/>
        </w:rPr>
        <w:t> </w:t>
      </w:r>
      <w:r>
        <w:rPr>
          <w:rFonts w:ascii="Times New Roman" w:hAnsi="Times New Roman"/>
          <w:b w:val="false"/>
          <w:i w:val="false"/>
          <w:color w:val="000000"/>
          <w:sz w:val="22"/>
        </w:rPr>
        <w:t>Retirement, death or discontinuance of practice.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licensee is retiring or discontinuing practice and is the owner of a practice, the licensee shall notify in writing all active clients and, upon knowledge and agreement of the clients, shall make reasonable arrangements with those clients to transfer client records, or copies of those records, to the succeeding licensee.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a licensee’s death:</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licensee’s employer or representative must ensure that all client records are transferred to another licensee or entity that is held to the same standards of confidentiality and agrees to act as custodian of the records.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licensee’s employer or representative shall notify each active client that the client’s records will be transferred to another licensee or entity that will retain custody of the records and that, at the client’s written request, the records will be sent to the licensee or entity of the client’s choice.</w:t>
      </w:r>
    </w:p>
    <w:p>
      <w:pPr>
        <w:spacing w:before="0" w:after="0"/>
        <w:ind w:left="120"/>
        <w:jc w:val="both"/>
      </w:pPr>
      <w:r>
        <w:rPr>
          <w:rFonts w:ascii="Times New Roman" w:hAnsi="Times New Roman"/>
          <w:b/>
          <w:i w:val="false"/>
          <w:color w:val="000000"/>
          <w:sz w:val="22"/>
        </w:rPr>
        <w:t>31.12(9)</w:t>
      </w:r>
      <w:r>
        <w:rPr>
          <w:rFonts w:ascii="Times New Roman" w:hAnsi="Times New Roman"/>
          <w:b w:val="false"/>
          <w:i w:val="false"/>
          <w:color w:val="000000"/>
          <w:sz w:val="22"/>
        </w:rPr>
        <w:t> </w:t>
      </w:r>
      <w:r>
        <w:rPr>
          <w:rFonts w:ascii="Times New Roman" w:hAnsi="Times New Roman"/>
          <w:b w:val="false"/>
          <w:i w:val="false"/>
          <w:color w:val="000000"/>
          <w:sz w:val="22"/>
        </w:rPr>
        <w:t>Nothing stated in this rule shall prohibit a licensee from conveying or transferring the licensee’s client records to another licensed individual who is assuming a practice, provided that written notice is furnished to all clients.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645—31.13</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for mental health counselors and marital and family therapists.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31.13(1)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i w:val="false"/>
          <w:color w:val="000000"/>
          <w:sz w:val="22"/>
        </w:rPr>
        <w:t>31.13(2)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40">
        <w:r>
          <w:rPr>
            <w:rStyle w:val="Hyperlink"/>
            <w:rFonts w:ascii="Times New Roman" w:hAnsi="Times New Roman"/>
            <w:b w:val="false"/>
            <w:i w:val="false"/>
            <w:color w:val="000000"/>
            <w:sz w:val="22"/>
          </w:rPr>
          <w:t>645—Chapter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31.13(3)</w:t>
      </w:r>
      <w:r>
        <w:rPr>
          <w:rFonts w:ascii="Times New Roman" w:hAnsi="Times New Roman"/>
          <w:b w:val="false"/>
          <w:i w:val="false"/>
          <w:color w:val="000000"/>
          <w:sz w:val="22"/>
        </w:rPr>
        <w:t> </w:t>
      </w:r>
      <w:r>
        <w:rPr>
          <w:rFonts w:ascii="Times New Roman" w:hAnsi="Times New Roman"/>
          <w:b w:val="false"/>
          <w:i w:val="false"/>
          <w:color w:val="000000"/>
          <w:sz w:val="22"/>
        </w:rPr>
        <w:t>Provide: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645—31.14</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41">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must apply for and be granted reactivation of the license in accordance with rule </w:t>
      </w:r>
      <w:hyperlink r:id="rId42">
        <w:r>
          <w:rPr>
            <w:rStyle w:val="Hyperlink"/>
            <w:rFonts w:ascii="Times New Roman" w:hAnsi="Times New Roman"/>
            <w:b w:val="false"/>
            <w:i w:val="false"/>
            <w:color w:val="000000"/>
            <w:sz w:val="22"/>
          </w:rPr>
          <w:t>645—31.13</w:t>
        </w:r>
      </w:hyperlink>
      <w:r>
        <w:rPr>
          <w:rFonts w:ascii="Times New Roman" w:hAnsi="Times New Roman"/>
          <w:b w:val="false"/>
          <w:i w:val="false"/>
          <w:color w:val="000000"/>
          <w:sz w:val="22"/>
        </w:rPr>
        <w:t xml:space="preserve">(17A,147,272C) or </w:t>
      </w:r>
      <w:hyperlink r:id="rId43">
        <w:r>
          <w:rPr>
            <w:rStyle w:val="Hyperlink"/>
            <w:rFonts w:ascii="Times New Roman" w:hAnsi="Times New Roman"/>
            <w:b w:val="false"/>
            <w:i w:val="false"/>
            <w:color w:val="000000"/>
            <w:sz w:val="22"/>
          </w:rPr>
          <w:t>subrule 31.11(8)</w:t>
        </w:r>
      </w:hyperlink>
      <w:r>
        <w:rPr>
          <w:rFonts w:ascii="Times New Roman" w:hAnsi="Times New Roman"/>
          <w:b w:val="false"/>
          <w:i w:val="false"/>
          <w:color w:val="000000"/>
          <w:sz w:val="22"/>
        </w:rPr>
        <w:t xml:space="preserve"> prior to practicing mental health counseling, marital and family therapy, or applied behavior analysis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645—31.15</w:t>
      </w:r>
      <w:r>
        <w:rPr>
          <w:rFonts w:ascii="Times New Roman" w:hAnsi="Times New Roman"/>
          <w:b/>
          <w:i w:val="false"/>
          <w:color w:val="000000"/>
          <w:sz w:val="22"/>
        </w:rPr>
        <w:t xml:space="preserve">(154D) </w:t>
      </w:r>
      <w:r>
        <w:rPr>
          <w:rFonts w:ascii="Times New Roman" w:hAnsi="Times New Roman"/>
          <w:b/>
          <w:i w:val="false"/>
          <w:color w:val="000000"/>
          <w:sz w:val="22"/>
        </w:rPr>
        <w:t xml:space="preserve">Marital and family therapy and mental health counselor services subject to regulation. </w:t>
      </w:r>
      <w:r>
        <w:rPr>
          <w:rFonts w:ascii="Times New Roman" w:hAnsi="Times New Roman"/>
          <w:b w:val="false"/>
          <w:i w:val="false"/>
          <w:color w:val="000000"/>
          <w:sz w:val="22"/>
        </w:rPr>
        <w:t>Marital and family therapy and mental health counselor services provided to an individual in this state through telephonic, electronic or other means, regardless of the location of the marital and family therapy and mental health counselor, shall constitute the practice of marital and family therapy and mental health counseling and shall be subject to regulation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645—31.16</w:t>
      </w:r>
      <w:r>
        <w:rPr>
          <w:rFonts w:ascii="Times New Roman" w:hAnsi="Times New Roman"/>
          <w:b/>
          <w:i w:val="false"/>
          <w:color w:val="000000"/>
          <w:sz w:val="22"/>
        </w:rPr>
        <w:t xml:space="preserve">(154D) </w:t>
      </w:r>
      <w:r>
        <w:rPr>
          <w:rFonts w:ascii="Times New Roman" w:hAnsi="Times New Roman"/>
          <w:b/>
          <w:i w:val="false"/>
          <w:color w:val="000000"/>
          <w:sz w:val="22"/>
        </w:rPr>
        <w:t xml:space="preserve">Temporary licensees. </w:t>
      </w:r>
      <w:r>
        <w:rPr>
          <w:rFonts w:ascii="Times New Roman" w:hAnsi="Times New Roman"/>
          <w:b w:val="false"/>
          <w:i w:val="false"/>
          <w:color w:val="000000"/>
          <w:sz w:val="22"/>
        </w:rPr>
        <w:t>A temporary licensee shall engage only in the practice of marital and family therapy or mental health counseling as part of an agency or group practice with oversight over the temporary licensee. The agency or group practice shall have at least one independently licensed mental health provider. A temporary licensee shall not practice as a solo practitioner or solely with other temporary licensees.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6/5/92, Notice 4/15/92—published 6/24/92, effective 7/29/92]</w:t>
      </w:r>
    </w:p>
    <w:p>
      <w:pPr>
        <w:spacing w:before="0" w:after="0"/>
        <w:ind w:left="120"/>
        <w:jc w:val="center"/>
      </w:pPr>
      <w:r>
        <w:rPr>
          <w:rFonts w:ascii="Times New Roman" w:hAnsi="Times New Roman"/>
          <w:b w:val="false"/>
          <w:i w:val="false"/>
          <w:color w:val="000000"/>
          <w:sz w:val="21"/>
        </w:rPr>
        <w:t>[Filed emergency 7/31/92—published 8/19/92, effective 7/31/92]</w:t>
      </w:r>
    </w:p>
    <w:p>
      <w:pPr>
        <w:spacing w:before="0" w:after="0"/>
        <w:ind w:left="120"/>
        <w:jc w:val="center"/>
      </w:pPr>
      <w:r>
        <w:rPr>
          <w:rFonts w:ascii="Times New Roman" w:hAnsi="Times New Roman"/>
          <w:b w:val="false"/>
          <w:i w:val="false"/>
          <w:color w:val="000000"/>
          <w:sz w:val="21"/>
        </w:rPr>
        <w:t>[Filed 11/17/94, Notice 9/14/94—published 12/7/94, effective 1/11/95]</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8/21/98, Notice 7/15/98—published 9/9/98, effective 10/14/98]</w:t>
      </w:r>
    </w:p>
    <w:p>
      <w:pPr>
        <w:spacing w:before="0" w:after="0"/>
        <w:ind w:left="120"/>
        <w:jc w:val="center"/>
      </w:pPr>
      <w:r>
        <w:rPr>
          <w:rFonts w:ascii="Times New Roman" w:hAnsi="Times New Roman"/>
          <w:b w:val="false"/>
          <w:i w:val="false"/>
          <w:color w:val="000000"/>
          <w:sz w:val="21"/>
        </w:rPr>
        <w:t>[Filed 4/2/99, Notice 2/10/99—published 4/21/99, effective 5/26/99]</w:t>
      </w:r>
    </w:p>
    <w:p>
      <w:pPr>
        <w:spacing w:before="0" w:after="0"/>
        <w:ind w:left="120"/>
        <w:jc w:val="center"/>
      </w:pPr>
      <w:r>
        <w:rPr>
          <w:rFonts w:ascii="Times New Roman" w:hAnsi="Times New Roman"/>
          <w:b w:val="false"/>
          <w:i w:val="false"/>
          <w:color w:val="000000"/>
          <w:sz w:val="21"/>
        </w:rPr>
        <w:t>[Filed 2/1/01, Notice 10/18/00—published 2/21/01, effective 3/28/01]</w:t>
      </w:r>
    </w:p>
    <w:p>
      <w:pPr>
        <w:spacing w:before="0" w:after="0"/>
        <w:ind w:left="120"/>
        <w:jc w:val="center"/>
      </w:pPr>
      <w:r>
        <w:rPr>
          <w:rFonts w:ascii="Times New Roman" w:hAnsi="Times New Roman"/>
          <w:b w:val="false"/>
          <w:i w:val="false"/>
          <w:color w:val="000000"/>
          <w:sz w:val="21"/>
        </w:rPr>
        <w:t>[Filed 12/6/01, Notice 10/3/01—published 12/26/01, effective 1/30/02]</w:t>
      </w:r>
    </w:p>
    <w:p>
      <w:pPr>
        <w:spacing w:before="0" w:after="0"/>
        <w:ind w:left="120"/>
        <w:jc w:val="center"/>
      </w:pPr>
      <w:r>
        <w:rPr>
          <w:rFonts w:ascii="Times New Roman" w:hAnsi="Times New Roman"/>
          <w:b w:val="false"/>
          <w:i w:val="false"/>
          <w:color w:val="000000"/>
          <w:sz w:val="21"/>
        </w:rPr>
        <w:t>[Filed 3/29/02, Notice 2/20/02—published 4/17/02, effective 5/22/02]</w:t>
      </w:r>
    </w:p>
    <w:p>
      <w:pPr>
        <w:spacing w:before="0" w:after="0"/>
        <w:ind w:left="120"/>
        <w:jc w:val="center"/>
      </w:pPr>
      <w:r>
        <w:rPr>
          <w:rFonts w:ascii="Times New Roman" w:hAnsi="Times New Roman"/>
          <w:b w:val="false"/>
          <w:i w:val="false"/>
          <w:color w:val="000000"/>
          <w:sz w:val="21"/>
        </w:rPr>
        <w:t>[Filed 9/26/02, Notice 7/24/02—published 10/16/02, effective 11/20/02]</w:t>
      </w:r>
    </w:p>
    <w:p>
      <w:pPr>
        <w:spacing w:before="0" w:after="0"/>
        <w:ind w:left="120"/>
        <w:jc w:val="center"/>
      </w:pPr>
      <w:r>
        <w:rPr>
          <w:rFonts w:ascii="Times New Roman" w:hAnsi="Times New Roman"/>
          <w:b w:val="false"/>
          <w:i w:val="false"/>
          <w:color w:val="000000"/>
          <w:sz w:val="21"/>
        </w:rPr>
        <w:t>[Filed 12/12/03, Notice 10/15/03—published 1/7/04, effective 2/11/04]</w:t>
      </w:r>
    </w:p>
    <w:p>
      <w:pPr>
        <w:spacing w:before="0" w:after="0"/>
        <w:ind w:left="120"/>
        <w:jc w:val="center"/>
      </w:pPr>
      <w:r>
        <w:rPr>
          <w:rFonts w:ascii="Times New Roman" w:hAnsi="Times New Roman"/>
          <w:b w:val="false"/>
          <w:i w:val="false"/>
          <w:color w:val="000000"/>
          <w:sz w:val="21"/>
        </w:rPr>
        <w:t>[Filed 6/15/05,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10/12/05—published 1/4/06, effective 2/8/06]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2/15/07, Notice 12/6/06—published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2/25/09]</w:t>
      </w:r>
    </w:p>
    <w:p>
      <w:pPr>
        <w:spacing w:before="0" w:after="0"/>
        <w:ind w:left="120"/>
        <w:jc w:val="center"/>
      </w:pPr>
      <w:r>
        <w:rPr>
          <w:rFonts w:ascii="Times New Roman" w:hAnsi="Times New Roman"/>
          <w:b w:val="false"/>
          <w:i w:val="false"/>
          <w:color w:val="000000"/>
          <w:sz w:val="21"/>
        </w:rPr>
        <w:t>[Filed Emergency ARC 7673B, IAB 4/8/09, effective 4/30/09]</w:t>
      </w:r>
    </w:p>
    <w:p>
      <w:pPr>
        <w:spacing w:before="0" w:after="0"/>
        <w:ind w:left="120"/>
        <w:jc w:val="center"/>
      </w:pPr>
      <w:r>
        <w:rPr>
          <w:rFonts w:ascii="Times New Roman" w:hAnsi="Times New Roman"/>
          <w:b w:val="false"/>
          <w:i w:val="false"/>
          <w:color w:val="000000"/>
          <w:sz w:val="21"/>
        </w:rPr>
        <w:t>[Filed ARC 8152B</w:t>
      </w:r>
      <w:r>
        <w:rPr>
          <w:rFonts w:ascii="Times New Roman" w:hAnsi="Times New Roman"/>
          <w:b w:val="false"/>
          <w:i w:val="false"/>
          <w:color w:val="000000"/>
          <w:sz w:val="21"/>
        </w:rPr>
        <w:t xml:space="preserve"> (Notice ARC 7858B,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9547B</w:t>
      </w:r>
      <w:r>
        <w:rPr>
          <w:rFonts w:ascii="Times New Roman" w:hAnsi="Times New Roman"/>
          <w:b w:val="false"/>
          <w:i w:val="false"/>
          <w:color w:val="000000"/>
          <w:sz w:val="21"/>
        </w:rPr>
        <w:t xml:space="preserve"> (Notice ARC 9416B,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0777C</w:t>
      </w:r>
      <w:r>
        <w:rPr>
          <w:rFonts w:ascii="Times New Roman" w:hAnsi="Times New Roman"/>
          <w:b w:val="false"/>
          <w:i w:val="false"/>
          <w:color w:val="000000"/>
          <w:sz w:val="21"/>
        </w:rPr>
        <w:t xml:space="preserve"> (Notice ARC 0679C,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1758C</w:t>
      </w:r>
      <w:r>
        <w:rPr>
          <w:rFonts w:ascii="Times New Roman" w:hAnsi="Times New Roman"/>
          <w:b w:val="false"/>
          <w:i w:val="false"/>
          <w:color w:val="000000"/>
          <w:sz w:val="21"/>
        </w:rPr>
        <w:t xml:space="preserve"> (Notice ARC 1558C,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2845C</w:t>
      </w:r>
      <w:r>
        <w:rPr>
          <w:rFonts w:ascii="Times New Roman" w:hAnsi="Times New Roman"/>
          <w:b w:val="false"/>
          <w:i w:val="false"/>
          <w:color w:val="000000"/>
          <w:sz w:val="21"/>
        </w:rPr>
        <w:t xml:space="preserve"> (Notice ARC 2738C,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5010C</w:t>
      </w:r>
      <w:r>
        <w:rPr>
          <w:rFonts w:ascii="Times New Roman" w:hAnsi="Times New Roman"/>
          <w:b w:val="false"/>
          <w:i w:val="false"/>
          <w:color w:val="000000"/>
          <w:sz w:val="21"/>
        </w:rPr>
        <w:t xml:space="preserve"> (Notice ARC 4745C, IAB 11/6/19)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5767C</w:t>
      </w:r>
      <w:r>
        <w:rPr>
          <w:rFonts w:ascii="Times New Roman" w:hAnsi="Times New Roman"/>
          <w:b w:val="false"/>
          <w:i w:val="false"/>
          <w:color w:val="000000"/>
          <w:sz w:val="21"/>
        </w:rPr>
        <w:t xml:space="preserve"> (Notice ARC 5442C,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Emergency ARC 5795C, IAB 7/28/21, effective 6/30/21]</w:t>
      </w:r>
    </w:p>
    <w:p>
      <w:pPr>
        <w:spacing w:before="0" w:after="0"/>
        <w:ind w:left="120"/>
        <w:jc w:val="center"/>
      </w:pPr>
      <w:r>
        <w:rPr>
          <w:rFonts w:ascii="Times New Roman" w:hAnsi="Times New Roman"/>
          <w:b w:val="false"/>
          <w:i w:val="false"/>
          <w:color w:val="000000"/>
          <w:sz w:val="21"/>
        </w:rPr>
        <w:t>[Filed ARC 6131C</w:t>
      </w:r>
      <w:r>
        <w:rPr>
          <w:rFonts w:ascii="Times New Roman" w:hAnsi="Times New Roman"/>
          <w:b w:val="false"/>
          <w:i w:val="false"/>
          <w:color w:val="000000"/>
          <w:sz w:val="21"/>
        </w:rPr>
        <w:t xml:space="preserve"> (Notice ARC 5794C, IAB 7/28/21)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6357C</w:t>
      </w:r>
      <w:r>
        <w:rPr>
          <w:rFonts w:ascii="Times New Roman" w:hAnsi="Times New Roman"/>
          <w:b w:val="false"/>
          <w:i w:val="false"/>
          <w:color w:val="000000"/>
          <w:sz w:val="21"/>
        </w:rPr>
        <w:t xml:space="preserve"> (Notice ARC 6142C, IAB 1/12/22)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6997C</w:t>
      </w:r>
      <w:r>
        <w:rPr>
          <w:rFonts w:ascii="Times New Roman" w:hAnsi="Times New Roman"/>
          <w:b w:val="false"/>
          <w:i w:val="false"/>
          <w:color w:val="000000"/>
          <w:sz w:val="21"/>
        </w:rPr>
        <w:t xml:space="preserve"> (Notice ARC 6651C,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7917C</w:t>
      </w:r>
      <w:r>
        <w:rPr>
          <w:rFonts w:ascii="Times New Roman" w:hAnsi="Times New Roman"/>
          <w:b w:val="false"/>
          <w:i w:val="false"/>
          <w:color w:val="000000"/>
          <w:sz w:val="21"/>
        </w:rPr>
        <w:t xml:space="preserve"> (Notice ARC 7293C, IAB 1/24/24)</w:t>
      </w:r>
      <w:r>
        <w:rPr>
          <w:rFonts w:ascii="Times New Roman" w:hAnsi="Times New Roman"/>
          <w:b w:val="false"/>
          <w:i w:val="false"/>
          <w:color w:val="000000"/>
          <w:sz w:val="21"/>
        </w:rPr>
        <w:t>, IAB 5/1/24, effective 6/5/24]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February 18, 2009, effective date of amendments to 645—31.4(154D) to 645—31.8(154D), </w:t>
      </w:r>
      <w:r>
        <w:rPr>
          <w:rFonts w:ascii="Times New Roman" w:hAnsi="Times New Roman"/>
          <w:b/>
          <w:i w:val="false"/>
          <w:color w:val="000000"/>
          <w:sz w:val="16"/>
        </w:rPr>
        <w:t>ARC 7476B</w:t>
      </w:r>
      <w:r>
        <w:rPr>
          <w:rFonts w:ascii="Times New Roman" w:hAnsi="Times New Roman"/>
          <w:b w:val="false"/>
          <w:i w:val="false"/>
          <w:color w:val="000000"/>
          <w:sz w:val="16"/>
        </w:rPr>
        <w:t>, Items 5 to 9, delayed 70 days by the Administrative Rules Review Committee at its meeting held February 6, 2009.</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31.13.pdf" Type="http://schemas.openxmlformats.org/officeDocument/2006/relationships/hyperlink" Id="rId4"/>
    <Relationship TargetMode="External" Target="https://www.legis.iowa.gov/docs/iac/rule/645.11.31.pdf" Type="http://schemas.openxmlformats.org/officeDocument/2006/relationships/hyperlink" Id="rId5"/>
    <Relationship TargetMode="External" Target="https://www.legis.iowa.gov/docs/iac/rule/645.5.3.pdf" Type="http://schemas.openxmlformats.org/officeDocument/2006/relationships/hyperlink" Id="rId6"/>
    <Relationship TargetMode="External" Target="https://www.legis.iowa.gov/docs/iac/rule/645.31.5.pdf" Type="http://schemas.openxmlformats.org/officeDocument/2006/relationships/hyperlink" Id="rId7"/>
    <Relationship TargetMode="External" Target="https://www.legis.iowa.gov/docs/iac/rule/645.31.5.pdf" Type="http://schemas.openxmlformats.org/officeDocument/2006/relationships/hyperlink" Id="rId8"/>
    <Relationship TargetMode="External" Target="https://www.legis.iowa.gov/docs/iac/rule/645.31.6.pdf" Type="http://schemas.openxmlformats.org/officeDocument/2006/relationships/hyperlink" Id="rId9"/>
    <Relationship TargetMode="External" Target="https://www.legis.iowa.gov/docs/iac/rule/645.31.6.pdf" Type="http://schemas.openxmlformats.org/officeDocument/2006/relationships/hyperlink" Id="rId10"/>
    <Relationship TargetMode="External" Target="https://www.legis.iowa.gov/docs/iac/rule/645.31.3.pdf" Type="http://schemas.openxmlformats.org/officeDocument/2006/relationships/hyperlink" Id="rId11"/>
    <Relationship TargetMode="External" Target="https://www.legis.iowa.gov/docs/iac/rule/645.31.7.pdf" Type="http://schemas.openxmlformats.org/officeDocument/2006/relationships/hyperlink" Id="rId12"/>
    <Relationship TargetMode="External" Target="https://www.legis.iowa.gov/docs/iac/rule/645.5.3.pdf" Type="http://schemas.openxmlformats.org/officeDocument/2006/relationships/hyperlink" Id="rId13"/>
    <Relationship TargetMode="External" Target="https://www.legis.iowa.gov/docs/iac/rule/645.31.5.pdf" Type="http://schemas.openxmlformats.org/officeDocument/2006/relationships/hyperlink" Id="rId14"/>
    <Relationship TargetMode="External" Target="http://cce-global.org" Type="http://schemas.openxmlformats.org/officeDocument/2006/relationships/hyperlink" Id="rId15"/>
    <Relationship TargetMode="External" Target="https://www.legis.iowa.gov/docs/iac/rule/645.31.6.pdf" Type="http://schemas.openxmlformats.org/officeDocument/2006/relationships/hyperlink" Id="rId16"/>
    <Relationship TargetMode="External" Target="http://cce-global.org" Type="http://schemas.openxmlformats.org/officeDocument/2006/relationships/hyperlink" Id="rId17"/>
    <Relationship TargetMode="External" Target="http://www.ierf.org" Type="http://schemas.openxmlformats.org/officeDocument/2006/relationships/hyperlink" Id="rId18"/>
    <Relationship TargetMode="External" Target="mailto:info@ierf.org" Type="http://schemas.openxmlformats.org/officeDocument/2006/relationships/hyperlink" Id="rId19"/>
    <Relationship TargetMode="External" Target="https://www.legis.iowa.gov/docs/iac/rule/645.31.2.pdf" Type="http://schemas.openxmlformats.org/officeDocument/2006/relationships/hyperlink" Id="rId20"/>
    <Relationship TargetMode="External" Target="https://www.legis.iowa.gov/docs/iac/rule/645.31.2.pdf" Type="http://schemas.openxmlformats.org/officeDocument/2006/relationships/hyperlink" Id="rId21"/>
    <Relationship TargetMode="External" Target="https://www.legis.iowa.gov/docs/iac/rule/645.31.2.pdf" Type="http://schemas.openxmlformats.org/officeDocument/2006/relationships/hyperlink" Id="rId22"/>
    <Relationship TargetMode="External" Target="https://www.legis.iowa.gov/docs/iac/rule/645.19.1.pdf" Type="http://schemas.openxmlformats.org/officeDocument/2006/relationships/hyperlink" Id="rId23"/>
    <Relationship TargetMode="External" Target="https://www.legis.iowa.gov/docs/iac/rule/645.5.3.pdf" Type="http://schemas.openxmlformats.org/officeDocument/2006/relationships/hyperlink" Id="rId24"/>
    <Relationship TargetMode="External" Target="https://www.legis.iowa.gov/docs/iac/rule/645.32.2.pdf" Type="http://schemas.openxmlformats.org/officeDocument/2006/relationships/hyperlink" Id="rId25"/>
    <Relationship TargetMode="External" Target="https://www.legis.iowa.gov/docs/ico/chapter/232.pdf" Type="http://schemas.openxmlformats.org/officeDocument/2006/relationships/hyperlink" Id="rId26"/>
    <Relationship TargetMode="External" Target="https://www.legis.iowa.gov/docs/iac/rule/645.31.10.pdf" Type="http://schemas.openxmlformats.org/officeDocument/2006/relationships/hyperlink" Id="rId27"/>
    <Relationship TargetMode="External" Target="https://www.legis.iowa.gov/docs/ico/chapter/235B.pdf" Type="http://schemas.openxmlformats.org/officeDocument/2006/relationships/hyperlink" Id="rId28"/>
    <Relationship TargetMode="External" Target="https://www.legis.iowa.gov/docs/iac/rule/645.31.10.pdf" Type="http://schemas.openxmlformats.org/officeDocument/2006/relationships/hyperlink" Id="rId29"/>
    <Relationship TargetMode="External" Target="https://www.legis.iowa.gov/docs/iac/rule/645.31.10.pdf" Type="http://schemas.openxmlformats.org/officeDocument/2006/relationships/hyperlink" Id="rId30"/>
    <Relationship TargetMode="External" Target="https://www.legis.iowa.gov/docs/iac/chapter/645.4.pdf" Type="http://schemas.openxmlformats.org/officeDocument/2006/relationships/hyperlink" Id="rId31"/>
    <Relationship TargetMode="External" Target="https://www.legis.iowa.gov/docs/iac/rule/645.31.10.pdf" Type="http://schemas.openxmlformats.org/officeDocument/2006/relationships/hyperlink" Id="rId32"/>
    <Relationship TargetMode="External" Target="https://www.legis.iowa.gov/docs/iac/rule/645.5.3.pdf" Type="http://schemas.openxmlformats.org/officeDocument/2006/relationships/hyperlink" Id="rId33"/>
    <Relationship TargetMode="External" Target="https://www.legis.iowa.gov/docs/ico/chapter/147.pdf" Type="http://schemas.openxmlformats.org/officeDocument/2006/relationships/hyperlink" Id="rId34"/>
    <Relationship TargetMode="External" Target="https://www.legis.iowa.gov/docs/ico/chapter/147.pdf" Type="http://schemas.openxmlformats.org/officeDocument/2006/relationships/hyperlink" Id="rId35"/>
    <Relationship TargetMode="External" Target="https://www.legis.iowa.gov/docs/iac/rule/645.5.3.pdf" Type="http://schemas.openxmlformats.org/officeDocument/2006/relationships/hyperlink" Id="rId36"/>
    <Relationship TargetMode="External" Target="https://www.legis.iowa.gov/docs/ico/chapter/147.pdf" Type="http://schemas.openxmlformats.org/officeDocument/2006/relationships/hyperlink" Id="rId37"/>
    <Relationship TargetMode="External" Target="https://www.legis.iowa.gov/docs/ico/chapter/147.pdf" Type="http://schemas.openxmlformats.org/officeDocument/2006/relationships/hyperlink" Id="rId38"/>
    <Relationship TargetMode="External" Target="https://www.legis.iowa.gov/docs/iac/rule/645.5.3.pdf" Type="http://schemas.openxmlformats.org/officeDocument/2006/relationships/hyperlink" Id="rId39"/>
    <Relationship TargetMode="External" Target="https://www.legis.iowa.gov/docs/iac/chapter/645.5.pdf" Type="http://schemas.openxmlformats.org/officeDocument/2006/relationships/hyperlink" Id="rId40"/>
    <Relationship TargetMode="External" Target="https://www.legis.iowa.gov/docs/iac/rule/645.11.31.pdf" Type="http://schemas.openxmlformats.org/officeDocument/2006/relationships/hyperlink" Id="rId41"/>
    <Relationship TargetMode="External" Target="https://www.legis.iowa.gov/docs/iac/rule/645.31.13.pdf" Type="http://schemas.openxmlformats.org/officeDocument/2006/relationships/hyperlink" Id="rId42"/>
    <Relationship TargetMode="External" Target="https://www.legis.iowa.gov/docs/iac/rule/645.31.11.pdf" Type="http://schemas.openxmlformats.org/officeDocument/2006/relationships/hyperlink" Id="rId43"/>
    <Relationship TargetMode="External" Target="https://www.legis.iowa.gov/docs/ico/chapter/17A.pdf" Type="http://schemas.openxmlformats.org/officeDocument/2006/relationships/hyperlink" Id="rId44"/>
    <Relationship TargetMode="External" Target="https://www.legis.iowa.gov/docs/ico/chapter/147.pdf" Type="http://schemas.openxmlformats.org/officeDocument/2006/relationships/hyperlink" Id="rId45"/>
    <Relationship TargetMode="External" Target="https://www.legis.iowa.gov/docs/ico/chapter/154D.pdf" Type="http://schemas.openxmlformats.org/officeDocument/2006/relationships/hyperlink" Id="rId46"/>
    <Relationship TargetMode="External" Target="https://www.legis.iowa.gov/docs/ico/chapter/272C.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