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SOCIAL WORKERS</w:t>
      </w:r>
    </w:p>
    <w:tbl>
      <w:tblPr>
        <w:tblW w:w="0" w:type="auto"/>
        <w:tblCellSpacing w:w="0" w:type="auto"/>
        <w:tblInd w:w="795" w:type="dxa"/>
        <w:tblBorders>
          <w:top w:val="none"/>
          <w:left w:val="none"/>
          <w:bottom w:val="none"/>
          <w:right w:val="none"/>
          <w:insideH w:val="none"/>
          <w:insideV w:val="none"/>
        </w:tblBorders>
      </w:tblPr>
      <w:tblGrid>
        <w:gridCol w:w="1536"/>
        <w:gridCol w:w="8064"/>
      </w:tblGrid>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280</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LICENSURE OF SOCIAL WORKERS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281</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CONTINUING EDUCATION FOR SOCIAL WORKERS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282</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PRACTICE OF SOCIAL WORKERS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283</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DISCIPLINE FOR SOCIAL WORKERS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284</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ADOPTION OF UNIFORM AND MODEL RULES</w:t>
            </w:r>
          </w:p>
        </w:tc>
      </w:tr>
    </w:tbl>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280</w:t>
      </w:r>
    </w:p>
    <w:p>
      <w:pPr>
        <w:spacing w:before="0" w:after="0"/>
        <w:ind w:left="120"/>
        <w:jc w:val="center"/>
      </w:pPr>
      <w:r>
        <w:rPr>
          <w:rFonts w:ascii="Times New Roman" w:hAnsi="Times New Roman"/>
          <w:b w:val="false"/>
          <w:i w:val="false"/>
          <w:color w:val="000000"/>
          <w:sz w:val="21"/>
        </w:rPr>
        <w:t>LICENSURE OF SOCIAL WORKERS</w:t>
      </w:r>
    </w:p>
    <w:p>
      <w:pPr>
        <w:spacing w:before="0" w:after="0"/>
        <w:ind w:left="120"/>
        <w:jc w:val="both"/>
      </w:pPr>
      <w:r>
        <w:rPr>
          <w:rFonts w:ascii="Times New Roman" w:hAnsi="Times New Roman"/>
          <w:b/>
          <w:i w:val="false"/>
          <w:color w:val="000000"/>
          <w:sz w:val="22"/>
        </w:rPr>
        <w:t>645—280.1</w:t>
      </w:r>
      <w:r>
        <w:rPr>
          <w:rFonts w:ascii="Times New Roman" w:hAnsi="Times New Roman"/>
          <w:b/>
          <w:i w:val="false"/>
          <w:color w:val="000000"/>
          <w:sz w:val="22"/>
        </w:rPr>
        <w:t xml:space="preserve">(154C)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apply:</w:t>
      </w:r>
    </w:p>
    <w:p>
      <w:pPr>
        <w:spacing w:before="0" w:after="0"/>
        <w:ind w:left="120"/>
        <w:jc w:val="both"/>
      </w:pP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color w:val="000000"/>
          <w:sz w:val="22"/>
        </w:rPr>
        <w:t xml:space="preserve">“ASWB” </w:t>
      </w:r>
      <w:r>
        <w:rPr>
          <w:rFonts w:ascii="Times New Roman" w:hAnsi="Times New Roman"/>
          <w:b w:val="false"/>
          <w:i w:val="false"/>
          <w:color w:val="000000"/>
          <w:sz w:val="22"/>
        </w:rPr>
        <w:t>means the Association of Social Work Boards.</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social work.</w:t>
      </w:r>
    </w:p>
    <w:p>
      <w:pPr>
        <w:spacing w:before="0" w:after="0"/>
        <w:ind w:left="120"/>
        <w:jc w:val="both"/>
      </w:pP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color w:val="000000"/>
          <w:sz w:val="22"/>
        </w:rPr>
        <w:t xml:space="preserve">“LBSW” </w:t>
      </w:r>
      <w:r>
        <w:rPr>
          <w:rFonts w:ascii="Times New Roman" w:hAnsi="Times New Roman"/>
          <w:b w:val="false"/>
          <w:i w:val="false"/>
          <w:color w:val="000000"/>
          <w:sz w:val="22"/>
        </w:rPr>
        <w:t>means licensed bachelor social worker.</w:t>
      </w:r>
    </w:p>
    <w:p>
      <w:pPr>
        <w:spacing w:before="0" w:after="0"/>
        <w:ind w:left="120"/>
        <w:jc w:val="both"/>
      </w:pP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social worker in the state of Iowa.</w:t>
      </w:r>
    </w:p>
    <w:p>
      <w:pPr>
        <w:spacing w:before="0" w:after="0"/>
        <w:ind w:left="120"/>
        <w:jc w:val="both"/>
      </w:pP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December 31 of even-numbered years.</w:t>
      </w:r>
    </w:p>
    <w:p>
      <w:pPr>
        <w:spacing w:before="0" w:after="0"/>
        <w:ind w:left="120"/>
        <w:jc w:val="both"/>
      </w:pPr>
      <w:r>
        <w:rPr>
          <w:rFonts w:ascii="Times New Roman" w:hAnsi="Times New Roman"/>
          <w:b w:val="false"/>
          <w:i/>
          <w:color w:val="000000"/>
          <w:sz w:val="22"/>
        </w:rPr>
        <w:t xml:space="preserve">“LISW” </w:t>
      </w:r>
      <w:r>
        <w:rPr>
          <w:rFonts w:ascii="Times New Roman" w:hAnsi="Times New Roman"/>
          <w:b w:val="false"/>
          <w:i w:val="false"/>
          <w:color w:val="000000"/>
          <w:sz w:val="22"/>
        </w:rPr>
        <w:t>means licensed independent social worker.</w:t>
      </w:r>
    </w:p>
    <w:p>
      <w:pPr>
        <w:spacing w:before="0" w:after="0"/>
        <w:ind w:left="120"/>
        <w:jc w:val="both"/>
      </w:pPr>
      <w:r>
        <w:rPr>
          <w:rFonts w:ascii="Times New Roman" w:hAnsi="Times New Roman"/>
          <w:b w:val="false"/>
          <w:i/>
          <w:color w:val="000000"/>
          <w:sz w:val="22"/>
        </w:rPr>
        <w:t xml:space="preserve">“LMSW” </w:t>
      </w:r>
      <w:r>
        <w:rPr>
          <w:rFonts w:ascii="Times New Roman" w:hAnsi="Times New Roman"/>
          <w:b w:val="false"/>
          <w:i w:val="false"/>
          <w:color w:val="000000"/>
          <w:sz w:val="22"/>
        </w:rPr>
        <w:t>means licensed master social worker.</w:t>
      </w:r>
    </w:p>
    <w:p>
      <w:pPr>
        <w:spacing w:before="0" w:after="0"/>
        <w:ind w:left="120"/>
        <w:jc w:val="both"/>
      </w:pPr>
      <w:r>
        <w:rPr>
          <w:rFonts w:ascii="Times New Roman" w:hAnsi="Times New Roman"/>
          <w:b w:val="false"/>
          <w:i/>
          <w:color w:val="000000"/>
          <w:sz w:val="22"/>
        </w:rPr>
        <w:t xml:space="preserve">“Mandatory reporter training” </w:t>
      </w:r>
      <w:r>
        <w:rPr>
          <w:rFonts w:ascii="Times New Roman" w:hAnsi="Times New Roman"/>
          <w:b w:val="false"/>
          <w:i w:val="false"/>
          <w:color w:val="000000"/>
          <w:sz w:val="22"/>
        </w:rPr>
        <w:t xml:space="preserve">means the training requirements in Iowa Code section </w:t>
      </w:r>
      <w:hyperlink r:id="rId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645—280.8</w:t>
        </w:r>
      </w:hyperlink>
      <w:r>
        <w:rPr>
          <w:rFonts w:ascii="Times New Roman" w:hAnsi="Times New Roman"/>
          <w:b w:val="false"/>
          <w:i w:val="false"/>
          <w:color w:val="000000"/>
          <w:sz w:val="22"/>
        </w:rPr>
        <w:t>(17A,147,272C).</w:t>
      </w:r>
    </w:p>
    <w:p>
      <w:pPr>
        <w:spacing w:before="0" w:after="0"/>
        <w:ind w:left="120"/>
        <w:jc w:val="both"/>
      </w:pP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 xml:space="preserve">(272C).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645—280.2</w:t>
      </w:r>
      <w:r>
        <w:rPr>
          <w:rFonts w:ascii="Times New Roman" w:hAnsi="Times New Roman"/>
          <w:b/>
          <w:i w:val="false"/>
          <w:color w:val="000000"/>
          <w:sz w:val="22"/>
        </w:rPr>
        <w:t xml:space="preserve">(154C) </w:t>
      </w:r>
      <w:r>
        <w:rPr>
          <w:rFonts w:ascii="Times New Roman" w:hAnsi="Times New Roman"/>
          <w:b/>
          <w:i w:val="false"/>
          <w:color w:val="000000"/>
          <w:sz w:val="22"/>
        </w:rPr>
        <w:t xml:space="preserve">Social work services subject to regulation. </w:t>
      </w:r>
      <w:r>
        <w:rPr>
          <w:rFonts w:ascii="Times New Roman" w:hAnsi="Times New Roman"/>
          <w:b w:val="false"/>
          <w:i w:val="false"/>
          <w:color w:val="000000"/>
          <w:sz w:val="22"/>
        </w:rPr>
        <w:t>Social work services provided to an individual in this state through telephonic, electronic or other means, regardless of the location of the social worker, shall constitute the practice of social work and be subject to regulation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645—280.3</w:t>
      </w:r>
      <w:r>
        <w:rPr>
          <w:rFonts w:ascii="Times New Roman" w:hAnsi="Times New Roman"/>
          <w:b/>
          <w:i w:val="false"/>
          <w:color w:val="000000"/>
          <w:sz w:val="22"/>
        </w:rPr>
        <w:t xml:space="preserve">(154C) </w:t>
      </w:r>
      <w:r>
        <w:rPr>
          <w:rFonts w:ascii="Times New Roman" w:hAnsi="Times New Roman"/>
          <w:b/>
          <w:i w:val="false"/>
          <w:color w:val="000000"/>
          <w:sz w:val="22"/>
        </w:rPr>
        <w:t xml:space="preserve">Requirements for licensure.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i w:val="false"/>
          <w:color w:val="000000"/>
          <w:sz w:val="22"/>
        </w:rPr>
        <w:t>280.3(1)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submits a completed application for licensure and pays the nonrefundable licensure fee specified in rule </w:t>
      </w:r>
      <w:hyperlink r:id="rId7">
        <w:r>
          <w:rPr>
            <w:rStyle w:val="Hyperlink"/>
            <w:rFonts w:ascii="Times New Roman" w:hAnsi="Times New Roman"/>
            <w:b w:val="false"/>
            <w:i w:val="false"/>
            <w:color w:val="000000"/>
            <w:sz w:val="22"/>
          </w:rPr>
          <w:t>645—5.19</w:t>
        </w:r>
      </w:hyperlink>
      <w:r>
        <w:rPr>
          <w:rFonts w:ascii="Times New Roman" w:hAnsi="Times New Roman"/>
          <w:b w:val="false"/>
          <w:i w:val="false"/>
          <w:color w:val="000000"/>
          <w:sz w:val="22"/>
        </w:rPr>
        <w:t xml:space="preserve">(147,154C). </w:t>
      </w:r>
    </w:p>
    <w:p>
      <w:pPr>
        <w:spacing w:before="0" w:after="0"/>
        <w:ind w:left="120"/>
        <w:jc w:val="both"/>
      </w:pPr>
      <w:r>
        <w:rPr>
          <w:rFonts w:ascii="Times New Roman" w:hAnsi="Times New Roman"/>
          <w:b/>
          <w:i w:val="false"/>
          <w:color w:val="000000"/>
          <w:sz w:val="22"/>
        </w:rPr>
        <w:t>280.3(2)</w:t>
      </w:r>
      <w:r>
        <w:rPr>
          <w:rFonts w:ascii="Times New Roman" w:hAnsi="Times New Roman"/>
          <w:b w:val="false"/>
          <w:i w:val="false"/>
          <w:color w:val="000000"/>
          <w:sz w:val="22"/>
        </w:rPr>
        <w:t> </w:t>
      </w:r>
      <w:r>
        <w:rPr>
          <w:rFonts w:ascii="Times New Roman" w:hAnsi="Times New Roman"/>
          <w:b w:val="false"/>
          <w:i w:val="false"/>
          <w:color w:val="000000"/>
          <w:sz w:val="22"/>
        </w:rPr>
        <w:t xml:space="preserve">No application will be considered by the board until official copies of academic transcripts have been received by the board except as provided in subrule </w:t>
      </w:r>
      <w:hyperlink r:id="rId8">
        <w:r>
          <w:rPr>
            <w:rStyle w:val="Hyperlink"/>
            <w:rFonts w:ascii="Times New Roman" w:hAnsi="Times New Roman"/>
            <w:b w:val="false"/>
            <w:i w:val="false"/>
            <w:color w:val="000000"/>
            <w:sz w:val="22"/>
          </w:rPr>
          <w:t>280.3(7)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280.3(3)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provides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Any disciplinary action taken against the license. </w:t>
      </w:r>
    </w:p>
    <w:p>
      <w:pPr>
        <w:spacing w:before="0" w:after="0"/>
        <w:ind w:left="120"/>
        <w:jc w:val="both"/>
      </w:pPr>
      <w:r>
        <w:rPr>
          <w:rFonts w:ascii="Times New Roman" w:hAnsi="Times New Roman"/>
          <w:b/>
          <w:i w:val="false"/>
          <w:color w:val="000000"/>
          <w:sz w:val="22"/>
        </w:rPr>
        <w:t>280.3(4)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take the examination(s) provided in rule </w:t>
      </w:r>
      <w:hyperlink r:id="rId9">
        <w:r>
          <w:rPr>
            <w:rStyle w:val="Hyperlink"/>
            <w:rFonts w:ascii="Times New Roman" w:hAnsi="Times New Roman"/>
            <w:b w:val="false"/>
            <w:i w:val="false"/>
            <w:color w:val="000000"/>
            <w:sz w:val="22"/>
          </w:rPr>
          <w:t>645—280.4</w:t>
        </w:r>
      </w:hyperlink>
      <w:r>
        <w:rPr>
          <w:rFonts w:ascii="Times New Roman" w:hAnsi="Times New Roman"/>
          <w:b w:val="false"/>
          <w:i w:val="false"/>
          <w:color w:val="000000"/>
          <w:sz w:val="22"/>
        </w:rPr>
        <w:t>(154C).</w:t>
      </w:r>
    </w:p>
    <w:p>
      <w:pPr>
        <w:spacing w:before="0" w:after="0"/>
        <w:ind w:left="120"/>
        <w:jc w:val="both"/>
      </w:pPr>
      <w:r>
        <w:rPr>
          <w:rFonts w:ascii="Times New Roman" w:hAnsi="Times New Roman"/>
          <w:b/>
          <w:i w:val="false"/>
          <w:color w:val="000000"/>
          <w:sz w:val="22"/>
        </w:rPr>
        <w:t>280.3(5)</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initial licenses within six months prior to the renewal shall not be required to renew their licenses until the renewal date two years later.</w:t>
      </w:r>
    </w:p>
    <w:p>
      <w:pPr>
        <w:spacing w:before="0" w:after="0"/>
        <w:ind w:left="120"/>
        <w:jc w:val="both"/>
      </w:pPr>
      <w:r>
        <w:rPr>
          <w:rFonts w:ascii="Times New Roman" w:hAnsi="Times New Roman"/>
          <w:b/>
          <w:i w:val="false"/>
          <w:color w:val="000000"/>
          <w:sz w:val="22"/>
        </w:rPr>
        <w:t>280.3(6)</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Considered invalid and be destroyed;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Maintained upon written request of the applicant. The applicant is responsible for requesting that the file be maintained.</w:t>
      </w:r>
    </w:p>
    <w:p>
      <w:pPr>
        <w:spacing w:before="0" w:after="0"/>
        <w:ind w:left="120"/>
        <w:jc w:val="both"/>
      </w:pPr>
      <w:r>
        <w:rPr>
          <w:rFonts w:ascii="Times New Roman" w:hAnsi="Times New Roman"/>
          <w:b/>
          <w:i w:val="false"/>
          <w:color w:val="000000"/>
          <w:sz w:val="22"/>
        </w:rPr>
        <w:t>280.3(7)</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requirements in subrules </w:t>
      </w:r>
      <w:hyperlink r:id="rId10">
        <w:r>
          <w:rPr>
            <w:rStyle w:val="Hyperlink"/>
            <w:rFonts w:ascii="Times New Roman" w:hAnsi="Times New Roman"/>
            <w:b w:val="false"/>
            <w:i w:val="false"/>
            <w:color w:val="000000"/>
            <w:sz w:val="22"/>
          </w:rPr>
          <w:t>280.3(2)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280.3(3)</w:t>
        </w:r>
      </w:hyperlink>
      <w:r>
        <w:rPr>
          <w:rFonts w:ascii="Times New Roman" w:hAnsi="Times New Roman"/>
          <w:b w:val="false"/>
          <w:i w:val="false"/>
          <w:color w:val="000000"/>
          <w:sz w:val="22"/>
        </w:rPr>
        <w:t>, the board will accept the ASWB Social Work Registry verification of academic transcripts and verification of licensure in other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645—280.4</w:t>
      </w:r>
      <w:r>
        <w:rPr>
          <w:rFonts w:ascii="Times New Roman" w:hAnsi="Times New Roman"/>
          <w:b/>
          <w:i w:val="false"/>
          <w:color w:val="000000"/>
          <w:sz w:val="22"/>
        </w:rPr>
        <w:t xml:space="preserve">(154C) </w:t>
      </w:r>
      <w:r>
        <w:rPr>
          <w:rFonts w:ascii="Times New Roman" w:hAnsi="Times New Roman"/>
          <w:b/>
          <w:i w:val="false"/>
          <w:color w:val="000000"/>
          <w:sz w:val="22"/>
        </w:rPr>
        <w:t xml:space="preserve">Written examination. </w:t>
      </w:r>
    </w:p>
    <w:p>
      <w:pPr>
        <w:spacing w:before="0" w:after="0"/>
        <w:ind w:left="120"/>
        <w:jc w:val="both"/>
      </w:pPr>
      <w:r>
        <w:rPr>
          <w:rFonts w:ascii="Times New Roman" w:hAnsi="Times New Roman"/>
          <w:b/>
          <w:i w:val="false"/>
          <w:color w:val="000000"/>
          <w:sz w:val="22"/>
        </w:rPr>
        <w:t>280.4(1)</w:t>
      </w:r>
      <w:r>
        <w:rPr>
          <w:rFonts w:ascii="Times New Roman" w:hAnsi="Times New Roman"/>
          <w:b w:val="false"/>
          <w:i w:val="false"/>
          <w:color w:val="000000"/>
          <w:sz w:val="22"/>
        </w:rPr>
        <w:t> </w:t>
      </w:r>
      <w:r>
        <w:rPr>
          <w:rFonts w:ascii="Times New Roman" w:hAnsi="Times New Roman"/>
          <w:b w:val="false"/>
          <w:i w:val="false"/>
          <w:color w:val="000000"/>
          <w:sz w:val="22"/>
        </w:rPr>
        <w:t>The applicant will take and pass the ASWB examination at the appropriate level as follows: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Bachelor level social worker—the basic level examination.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Master level social worker—the intermediate level examination.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Independent level social worker—the clinical level examination.</w:t>
      </w:r>
    </w:p>
    <w:p>
      <w:pPr>
        <w:spacing w:before="0" w:after="0"/>
        <w:ind w:left="120"/>
        <w:jc w:val="both"/>
      </w:pPr>
      <w:r>
        <w:rPr>
          <w:rFonts w:ascii="Times New Roman" w:hAnsi="Times New Roman"/>
          <w:b/>
          <w:i w:val="false"/>
          <w:color w:val="000000"/>
          <w:sz w:val="22"/>
        </w:rPr>
        <w:t>280.4(2)</w:t>
      </w:r>
      <w:r>
        <w:rPr>
          <w:rFonts w:ascii="Times New Roman" w:hAnsi="Times New Roman"/>
          <w:b w:val="false"/>
          <w:i w:val="false"/>
          <w:color w:val="000000"/>
          <w:sz w:val="22"/>
        </w:rPr>
        <w:t> </w:t>
      </w:r>
      <w:r>
        <w:rPr>
          <w:rFonts w:ascii="Times New Roman" w:hAnsi="Times New Roman"/>
          <w:b w:val="false"/>
          <w:i w:val="false"/>
          <w:color w:val="000000"/>
          <w:sz w:val="22"/>
        </w:rPr>
        <w:t>The board will accept only official results from the ASWB examination service that are sent directly from the examination service to the board.</w:t>
      </w:r>
    </w:p>
    <w:p>
      <w:pPr>
        <w:spacing w:before="0" w:after="0"/>
        <w:ind w:left="120"/>
        <w:jc w:val="both"/>
      </w:pPr>
      <w:r>
        <w:rPr>
          <w:rFonts w:ascii="Times New Roman" w:hAnsi="Times New Roman"/>
          <w:b/>
          <w:i w:val="false"/>
          <w:color w:val="000000"/>
          <w:sz w:val="22"/>
        </w:rPr>
        <w:t>280.4(3)</w:t>
      </w:r>
      <w:r>
        <w:rPr>
          <w:rFonts w:ascii="Times New Roman" w:hAnsi="Times New Roman"/>
          <w:b w:val="false"/>
          <w:i w:val="false"/>
          <w:color w:val="000000"/>
          <w:sz w:val="22"/>
        </w:rPr>
        <w:t> </w:t>
      </w:r>
      <w:r>
        <w:rPr>
          <w:rFonts w:ascii="Times New Roman" w:hAnsi="Times New Roman"/>
          <w:b w:val="false"/>
          <w:i w:val="false"/>
          <w:color w:val="000000"/>
          <w:sz w:val="22"/>
        </w:rPr>
        <w:t>The ASWB passing score will be utilized as the Iowa passing score.</w:t>
      </w:r>
    </w:p>
    <w:p>
      <w:pPr>
        <w:spacing w:before="0" w:after="0"/>
        <w:ind w:left="120"/>
        <w:jc w:val="both"/>
      </w:pPr>
      <w:r>
        <w:rPr>
          <w:rFonts w:ascii="Times New Roman" w:hAnsi="Times New Roman"/>
          <w:b/>
          <w:i w:val="false"/>
          <w:color w:val="000000"/>
          <w:sz w:val="22"/>
        </w:rPr>
        <w:t>280.4(4)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may sit for the examination if the applicant meets the requirements stated in rule </w:t>
      </w:r>
      <w:hyperlink r:id="rId12">
        <w:r>
          <w:rPr>
            <w:rStyle w:val="Hyperlink"/>
            <w:rFonts w:ascii="Times New Roman" w:hAnsi="Times New Roman"/>
            <w:b w:val="false"/>
            <w:i w:val="false"/>
            <w:color w:val="000000"/>
            <w:sz w:val="22"/>
          </w:rPr>
          <w:t>645—280.3</w:t>
        </w:r>
      </w:hyperlink>
      <w:r>
        <w:rPr>
          <w:rFonts w:ascii="Times New Roman" w:hAnsi="Times New Roman"/>
          <w:b w:val="false"/>
          <w:i w:val="false"/>
          <w:color w:val="000000"/>
          <w:sz w:val="22"/>
        </w:rPr>
        <w:t xml:space="preserve">(154C). Upon written request of the applicant, the board may authorize a student to sit for the examination prior to the receipt of the official transcript if the student is in the last semester of an approved master of social work program. The student shall submit an application for licensure at the master level and the fee, and, in lieu of a transcript, the student shall request that the school submit a letter directly to the board office. The letter shall state that the student is currently enrolled in a master of social work program and the student’s expected date of graduation. Upon completion of degree requirements, the applicant shall have the transcript showing the date of the degree sent directly from the school to the board office. </w:t>
      </w:r>
    </w:p>
    <w:p>
      <w:pPr>
        <w:spacing w:before="0" w:after="0"/>
        <w:ind w:left="120"/>
        <w:jc w:val="both"/>
      </w:pPr>
      <w:r>
        <w:rPr>
          <w:rFonts w:ascii="Times New Roman" w:hAnsi="Times New Roman"/>
          <w:b/>
          <w:i w:val="false"/>
          <w:color w:val="000000"/>
          <w:sz w:val="22"/>
        </w:rPr>
        <w:t>280.4(5)</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requirements in subrule </w:t>
      </w:r>
      <w:hyperlink r:id="rId13">
        <w:r>
          <w:rPr>
            <w:rStyle w:val="Hyperlink"/>
            <w:rFonts w:ascii="Times New Roman" w:hAnsi="Times New Roman"/>
            <w:b w:val="false"/>
            <w:i w:val="false"/>
            <w:color w:val="000000"/>
            <w:sz w:val="22"/>
          </w:rPr>
          <w:t>280.4(2)</w:t>
        </w:r>
      </w:hyperlink>
      <w:r>
        <w:rPr>
          <w:rFonts w:ascii="Times New Roman" w:hAnsi="Times New Roman"/>
          <w:b w:val="false"/>
          <w:i w:val="false"/>
          <w:color w:val="000000"/>
          <w:sz w:val="22"/>
        </w:rPr>
        <w:t>, the board will accept the ASWB Social Work Registry verification of the ASWB examination results.</w:t>
      </w:r>
    </w:p>
    <w:p>
      <w:pPr>
        <w:spacing w:before="0" w:after="0"/>
        <w:ind w:left="120"/>
        <w:jc w:val="both"/>
      </w:pPr>
      <w:r>
        <w:rPr>
          <w:rFonts w:ascii="Times New Roman" w:hAnsi="Times New Roman"/>
          <w:b/>
          <w:i w:val="false"/>
          <w:color w:val="000000"/>
          <w:sz w:val="22"/>
        </w:rPr>
        <w:t>280.4(6)</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requirements in subrule </w:t>
      </w:r>
      <w:hyperlink r:id="rId14">
        <w:r>
          <w:rPr>
            <w:rStyle w:val="Hyperlink"/>
            <w:rFonts w:ascii="Times New Roman" w:hAnsi="Times New Roman"/>
            <w:b w:val="false"/>
            <w:i w:val="false"/>
            <w:color w:val="000000"/>
            <w:sz w:val="22"/>
          </w:rPr>
          <w:t>280.4(1)</w:t>
        </w:r>
      </w:hyperlink>
      <w:r>
        <w:rPr>
          <w:rFonts w:ascii="Times New Roman" w:hAnsi="Times New Roman"/>
          <w:b w:val="false"/>
          <w:i w:val="false"/>
          <w:color w:val="000000"/>
          <w:sz w:val="22"/>
        </w:rPr>
        <w:t xml:space="preserve">, the board will accept verification of passing the state of California equivalent level licensing examination.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645—280.5</w:t>
      </w:r>
      <w:r>
        <w:rPr>
          <w:rFonts w:ascii="Times New Roman" w:hAnsi="Times New Roman"/>
          <w:b/>
          <w:i w:val="false"/>
          <w:color w:val="000000"/>
          <w:sz w:val="22"/>
        </w:rPr>
        <w:t xml:space="preserve">(154C)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i w:val="false"/>
          <w:color w:val="000000"/>
          <w:sz w:val="22"/>
        </w:rPr>
        <w:t>280.5(1)</w:t>
      </w:r>
      <w:r>
        <w:rPr>
          <w:rFonts w:ascii="Times New Roman" w:hAnsi="Times New Roman"/>
          <w:b w:val="false"/>
          <w:i w:val="false"/>
          <w:color w:val="000000"/>
          <w:sz w:val="22"/>
        </w:rPr>
        <w:t> </w:t>
      </w:r>
      <w:r>
        <w:rPr>
          <w:rFonts w:ascii="Times New Roman" w:hAnsi="Times New Roman"/>
          <w:b w:val="false"/>
          <w:i w:val="false"/>
          <w:color w:val="000000"/>
          <w:sz w:val="22"/>
        </w:rPr>
        <w:t>Bachelor level social worker. An applicant for a license will possess a bachelor’s degree in social work from a college or university accredited by the Council on Social Work Education at the time of graduation.</w:t>
      </w:r>
    </w:p>
    <w:p>
      <w:pPr>
        <w:spacing w:before="0" w:after="0"/>
        <w:ind w:left="120"/>
        <w:jc w:val="both"/>
      </w:pPr>
      <w:r>
        <w:rPr>
          <w:rFonts w:ascii="Times New Roman" w:hAnsi="Times New Roman"/>
          <w:b/>
          <w:i w:val="false"/>
          <w:color w:val="000000"/>
          <w:sz w:val="22"/>
        </w:rPr>
        <w:t>280.5(2)</w:t>
      </w:r>
      <w:r>
        <w:rPr>
          <w:rFonts w:ascii="Times New Roman" w:hAnsi="Times New Roman"/>
          <w:b w:val="false"/>
          <w:i w:val="false"/>
          <w:color w:val="000000"/>
          <w:sz w:val="22"/>
        </w:rPr>
        <w:t> </w:t>
      </w:r>
      <w:r>
        <w:rPr>
          <w:rFonts w:ascii="Times New Roman" w:hAnsi="Times New Roman"/>
          <w:b w:val="false"/>
          <w:i w:val="false"/>
          <w:color w:val="000000"/>
          <w:sz w:val="22"/>
        </w:rPr>
        <w:t>Master and independent level social worker. An applicant for a license will present evidence satisfactory to the board that the applicant: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Possesses a master’s degree in social work from a college or university accredited by the Council on Social Work Education at the time of graduation;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Possesses a doctoral degree in social work from a college or university approved by the board at the time of graduation.</w:t>
      </w:r>
    </w:p>
    <w:p>
      <w:pPr>
        <w:spacing w:before="0" w:after="0"/>
        <w:ind w:left="120"/>
        <w:jc w:val="both"/>
      </w:pPr>
      <w:r>
        <w:rPr>
          <w:rFonts w:ascii="Times New Roman" w:hAnsi="Times New Roman"/>
          <w:b/>
          <w:i w:val="false"/>
          <w:color w:val="000000"/>
          <w:sz w:val="22"/>
        </w:rPr>
        <w:t>280.5(3)</w:t>
      </w:r>
      <w:r>
        <w:rPr>
          <w:rFonts w:ascii="Times New Roman" w:hAnsi="Times New Roman"/>
          <w:b w:val="false"/>
          <w:i w:val="false"/>
          <w:color w:val="000000"/>
          <w:sz w:val="22"/>
        </w:rPr>
        <w:t> </w:t>
      </w:r>
      <w:r>
        <w:rPr>
          <w:rFonts w:ascii="Times New Roman" w:hAnsi="Times New Roman"/>
          <w:b w:val="false"/>
          <w:i w:val="false"/>
          <w:color w:val="000000"/>
          <w:sz w:val="22"/>
        </w:rPr>
        <w:t xml:space="preserve">Foreign-trained social workers shall provide an equivalency evaluation of their educational credentials by International Education Research Foundation, Inc., Credentials Evaluation Service, P.O. Box 3665, Culver City, California 90231-3665, telephone 310.258.9451, website </w:t>
      </w:r>
      <w:hyperlink r:id="rId15">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16">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xml:space="preserve">; or obtain a certificate of equivalency from the Council on Social Work Education, 1701 Duke Street, Suite 200, Alexandria, Virginia 22314-3457, telephone 703.683.8080, website </w:t>
      </w:r>
      <w:hyperlink r:id="rId17">
        <w:r>
          <w:rPr>
            <w:rStyle w:val="Hyperlink"/>
            <w:rFonts w:ascii="Times New Roman" w:hAnsi="Times New Roman"/>
            <w:b w:val="false"/>
            <w:i w:val="false"/>
            <w:color w:val="000000"/>
            <w:sz w:val="22"/>
            <w:u w:val="single"/>
          </w:rPr>
          <w:t>www.cswe.org</w:t>
        </w:r>
      </w:hyperlink>
      <w:r>
        <w:rPr>
          <w:rFonts w:ascii="Times New Roman" w:hAnsi="Times New Roman"/>
          <w:b w:val="false"/>
          <w:i w:val="false"/>
          <w:color w:val="000000"/>
          <w:sz w:val="22"/>
        </w:rPr>
        <w:t>. The professional curriculum must be equivalent to that stated in these rules. The applicant shall bear the expense of the curriculum evaluation.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645—280.6</w:t>
      </w:r>
      <w:r>
        <w:rPr>
          <w:rFonts w:ascii="Times New Roman" w:hAnsi="Times New Roman"/>
          <w:b/>
          <w:i w:val="false"/>
          <w:color w:val="000000"/>
          <w:sz w:val="22"/>
        </w:rPr>
        <w:t xml:space="preserve">(154C) </w:t>
      </w:r>
      <w:r>
        <w:rPr>
          <w:rFonts w:ascii="Times New Roman" w:hAnsi="Times New Roman"/>
          <w:b/>
          <w:i w:val="false"/>
          <w:color w:val="000000"/>
          <w:sz w:val="22"/>
        </w:rPr>
        <w:t xml:space="preserve">Supervised clinical experience. </w:t>
      </w:r>
      <w:r>
        <w:rPr>
          <w:rFonts w:ascii="Times New Roman" w:hAnsi="Times New Roman"/>
          <w:b w:val="false"/>
          <w:i w:val="false"/>
          <w:color w:val="000000"/>
          <w:sz w:val="22"/>
        </w:rPr>
        <w:t>An applicant for licensure as an independent level social worker must complete a supervised clinical experience as set forth in this rule.</w:t>
      </w:r>
    </w:p>
    <w:p>
      <w:pPr>
        <w:spacing w:before="0" w:after="0"/>
        <w:ind w:left="120"/>
        <w:jc w:val="both"/>
      </w:pPr>
      <w:r>
        <w:rPr>
          <w:rFonts w:ascii="Times New Roman" w:hAnsi="Times New Roman"/>
          <w:b/>
          <w:i w:val="false"/>
          <w:color w:val="000000"/>
          <w:sz w:val="22"/>
        </w:rPr>
        <w:t>280.6(1)</w:t>
      </w:r>
      <w:r>
        <w:rPr>
          <w:rFonts w:ascii="Times New Roman" w:hAnsi="Times New Roman"/>
          <w:b w:val="false"/>
          <w:i w:val="false"/>
          <w:color w:val="000000"/>
          <w:sz w:val="22"/>
        </w:rPr>
        <w:t> </w:t>
      </w:r>
      <w:r>
        <w:rPr>
          <w:rFonts w:ascii="Times New Roman" w:hAnsi="Times New Roman"/>
          <w:b w:val="false"/>
          <w:i/>
          <w:color w:val="000000"/>
          <w:sz w:val="22"/>
        </w:rPr>
        <w:t xml:space="preserve">Minimum requirements. </w:t>
      </w:r>
      <w:r>
        <w:rPr>
          <w:rFonts w:ascii="Times New Roman" w:hAnsi="Times New Roman"/>
          <w:b w:val="false"/>
          <w:i w:val="false"/>
          <w:color w:val="000000"/>
          <w:sz w:val="22"/>
        </w:rPr>
        <w:t>The supervised clinical experience must satisfy all of the following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Timing. </w:t>
      </w:r>
      <w:r>
        <w:rPr>
          <w:rFonts w:ascii="Times New Roman" w:hAnsi="Times New Roman"/>
          <w:b w:val="false"/>
          <w:i w:val="false"/>
          <w:color w:val="000000"/>
          <w:sz w:val="22"/>
        </w:rPr>
        <w:t>The supervised clinical experience cannot begin until after licensure as a master level social worker.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Duration. </w:t>
      </w:r>
      <w:r>
        <w:rPr>
          <w:rFonts w:ascii="Times New Roman" w:hAnsi="Times New Roman"/>
          <w:b w:val="false"/>
          <w:i w:val="false"/>
          <w:color w:val="000000"/>
          <w:sz w:val="22"/>
        </w:rPr>
        <w:t>The supervised clinical experience must be a minimum of two years.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Minimum number of hours. </w:t>
      </w:r>
      <w:r>
        <w:rPr>
          <w:rFonts w:ascii="Times New Roman" w:hAnsi="Times New Roman"/>
          <w:b w:val="false"/>
          <w:i w:val="false"/>
          <w:color w:val="000000"/>
          <w:sz w:val="22"/>
        </w:rPr>
        <w:t>The supervised clinical experience consists of at least 3,000 hours of practice.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Minimum number of direct client hours. </w:t>
      </w:r>
      <w:r>
        <w:rPr>
          <w:rFonts w:ascii="Times New Roman" w:hAnsi="Times New Roman"/>
          <w:b w:val="false"/>
          <w:i w:val="false"/>
          <w:color w:val="000000"/>
          <w:sz w:val="22"/>
        </w:rPr>
        <w:t>The supervised clinical experience consists of at least 1,500 hours of direct client contact.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Minimum number of direct supervision hours. </w:t>
      </w:r>
      <w:r>
        <w:rPr>
          <w:rFonts w:ascii="Times New Roman" w:hAnsi="Times New Roman"/>
          <w:b w:val="false"/>
          <w:i w:val="false"/>
          <w:color w:val="000000"/>
          <w:sz w:val="22"/>
        </w:rPr>
        <w:t>The supervised clinical experience consists of at least 110 hours of direct supervision equitably distributed throughout the supervised clinical experience, including at least 24 hours of live or recorded direct observation of client interaction. A maximum of 50 hours of direct supervision may be obtained through group supervision. Direct supervision can occur in person or by using videoconferencing. After 110 hours of direct supervision are complete, ongoing direct supervision will continue to occur for the remainder of the supervised clinical experience.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Number of supervisors. </w:t>
      </w:r>
      <w:r>
        <w:rPr>
          <w:rFonts w:ascii="Times New Roman" w:hAnsi="Times New Roman"/>
          <w:b w:val="false"/>
          <w:i w:val="false"/>
          <w:color w:val="000000"/>
          <w:sz w:val="22"/>
        </w:rPr>
        <w:t>A supervisee may utilize a maximum of four supervisors at any given time. A supervisee is responsible for notifying each supervisor if another supervisor is also being utilized to allow for coordination as appropriate.</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Number of supervisees. </w:t>
      </w:r>
      <w:r>
        <w:rPr>
          <w:rFonts w:ascii="Times New Roman" w:hAnsi="Times New Roman"/>
          <w:b w:val="false"/>
          <w:i w:val="false"/>
          <w:color w:val="000000"/>
          <w:sz w:val="22"/>
        </w:rPr>
        <w:t>A supervisor will determine the number of supervisees who can be supervised safely and competently and will not exceed that number.</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Content. </w:t>
      </w:r>
      <w:r>
        <w:rPr>
          <w:rFonts w:ascii="Times New Roman" w:hAnsi="Times New Roman"/>
          <w:b w:val="false"/>
          <w:i w:val="false"/>
          <w:color w:val="000000"/>
          <w:sz w:val="22"/>
        </w:rPr>
        <w:t>The supervised clinical experience must involve performing psychosocial assessments, diagnostic practice using the current edition of the Diagnostic and Statistical Manual of Mental Disorders (DSM-5-TR), published March 2022, and providing treatment, including the establishment of treatment goals, psychosocial therapy using evidence-based therapeutic modalities, and differential treatment planning. The supervised clinical experience will prepare the supervisee for independent practice and must include training on practice management, ethical standards, legal and regulatory requirements, documentation, coordination of care, and self-care.</w:t>
      </w:r>
    </w:p>
    <w:p>
      <w:pPr>
        <w:spacing w:before="0" w:after="0"/>
        <w:ind w:left="120"/>
        <w:jc w:val="both"/>
      </w:pPr>
      <w:r>
        <w:rPr>
          <w:rFonts w:ascii="Times New Roman" w:hAnsi="Times New Roman"/>
          <w:b/>
          <w:i w:val="false"/>
          <w:color w:val="000000"/>
          <w:sz w:val="22"/>
        </w:rPr>
        <w:t>280.6(2)</w:t>
      </w:r>
      <w:r>
        <w:rPr>
          <w:rFonts w:ascii="Times New Roman" w:hAnsi="Times New Roman"/>
          <w:b w:val="false"/>
          <w:i w:val="false"/>
          <w:color w:val="000000"/>
          <w:sz w:val="22"/>
        </w:rPr>
        <w:t> </w:t>
      </w:r>
      <w:r>
        <w:rPr>
          <w:rFonts w:ascii="Times New Roman" w:hAnsi="Times New Roman"/>
          <w:b w:val="false"/>
          <w:i/>
          <w:color w:val="000000"/>
          <w:sz w:val="22"/>
        </w:rPr>
        <w:t xml:space="preserve">Eligible supervisors. </w:t>
      </w:r>
      <w:r>
        <w:rPr>
          <w:rFonts w:ascii="Times New Roman" w:hAnsi="Times New Roman"/>
          <w:b w:val="false"/>
          <w:i w:val="false"/>
          <w:color w:val="000000"/>
          <w:sz w:val="22"/>
        </w:rPr>
        <w:t>A supervisor must satisfy all of the following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Hold an active license as an independent level social worker, mental health counselor, or marital and family therapist in Iowa.</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Have a minimum of three years of independent practice.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Have completed at least a six-hour continuing education course in supervision or one graduate-level course in supervision.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 knowledgeable of the applicable ethical code and licensing rules governing the supervisee.</w:t>
      </w:r>
    </w:p>
    <w:p>
      <w:pPr>
        <w:spacing w:before="0" w:after="0"/>
        <w:ind w:left="120"/>
        <w:jc w:val="both"/>
      </w:pPr>
      <w:r>
        <w:rPr>
          <w:rFonts w:ascii="Times New Roman" w:hAnsi="Times New Roman"/>
          <w:b w:val="false"/>
          <w:i w:val="false"/>
          <w:color w:val="000000"/>
          <w:sz w:val="22"/>
        </w:rPr>
        <w:t>Any request for a supervisor who does not meet these requirements must be approved by the board before supervision begins.</w:t>
      </w:r>
    </w:p>
    <w:p>
      <w:pPr>
        <w:spacing w:before="0" w:after="0"/>
        <w:ind w:left="120"/>
        <w:jc w:val="both"/>
      </w:pPr>
      <w:r>
        <w:rPr>
          <w:rFonts w:ascii="Times New Roman" w:hAnsi="Times New Roman"/>
          <w:b/>
          <w:i w:val="false"/>
          <w:color w:val="000000"/>
          <w:sz w:val="22"/>
        </w:rPr>
        <w:t>280.6(3)</w:t>
      </w:r>
      <w:r>
        <w:rPr>
          <w:rFonts w:ascii="Times New Roman" w:hAnsi="Times New Roman"/>
          <w:b w:val="false"/>
          <w:i w:val="false"/>
          <w:color w:val="000000"/>
          <w:sz w:val="22"/>
        </w:rPr>
        <w:t> </w:t>
      </w:r>
      <w:r>
        <w:rPr>
          <w:rFonts w:ascii="Times New Roman" w:hAnsi="Times New Roman"/>
          <w:b w:val="false"/>
          <w:i/>
          <w:color w:val="000000"/>
          <w:sz w:val="22"/>
        </w:rPr>
        <w:t xml:space="preserve">Supervision plan. </w:t>
      </w:r>
      <w:r>
        <w:rPr>
          <w:rFonts w:ascii="Times New Roman" w:hAnsi="Times New Roman"/>
          <w:b w:val="false"/>
          <w:i w:val="false"/>
          <w:color w:val="000000"/>
          <w:sz w:val="22"/>
        </w:rPr>
        <w:t>Prior to beginning supervision, the supervisee will submit a written supervision plan to the board using the current form published by the board. The supervisee will also submit a written supervision plan to the board prior to beginning supervision with a new supervisor.</w:t>
      </w:r>
    </w:p>
    <w:p>
      <w:pPr>
        <w:spacing w:before="0" w:after="0"/>
        <w:ind w:left="120"/>
        <w:jc w:val="both"/>
      </w:pPr>
      <w:r>
        <w:rPr>
          <w:rFonts w:ascii="Times New Roman" w:hAnsi="Times New Roman"/>
          <w:b/>
          <w:i w:val="false"/>
          <w:color w:val="000000"/>
          <w:sz w:val="22"/>
        </w:rPr>
        <w:t>280.6(4)</w:t>
      </w:r>
      <w:r>
        <w:rPr>
          <w:rFonts w:ascii="Times New Roman" w:hAnsi="Times New Roman"/>
          <w:b w:val="false"/>
          <w:i w:val="false"/>
          <w:color w:val="000000"/>
          <w:sz w:val="22"/>
        </w:rPr>
        <w:t> </w:t>
      </w:r>
      <w:r>
        <w:rPr>
          <w:rFonts w:ascii="Times New Roman" w:hAnsi="Times New Roman"/>
          <w:b w:val="false"/>
          <w:i/>
          <w:color w:val="000000"/>
          <w:sz w:val="22"/>
        </w:rPr>
        <w:t xml:space="preserve">Supervision report. </w:t>
      </w:r>
      <w:r>
        <w:rPr>
          <w:rFonts w:ascii="Times New Roman" w:hAnsi="Times New Roman"/>
          <w:b w:val="false"/>
          <w:i w:val="false"/>
          <w:color w:val="000000"/>
          <w:sz w:val="22"/>
        </w:rPr>
        <w:t>When supervision is complete, or when a supervisor ceases providing supervision to the supervisee, the supervisee will ensure a completed supervision report using the current form published by the board is submitted to the board. If the supervisor reports that the supervisee is not adequately prepared for independent licensure, or reports violations of the board’s rules or applicable ethical code, the board may require the supervisee to complete additional supervision or training as deemed appropriate prior to licensure.</w:t>
      </w:r>
    </w:p>
    <w:p>
      <w:pPr>
        <w:spacing w:before="0" w:after="0"/>
        <w:ind w:left="120"/>
        <w:jc w:val="both"/>
      </w:pPr>
      <w:r>
        <w:rPr>
          <w:rFonts w:ascii="Times New Roman" w:hAnsi="Times New Roman"/>
          <w:b/>
          <w:i w:val="false"/>
          <w:color w:val="000000"/>
          <w:sz w:val="22"/>
        </w:rPr>
        <w:t>280.6(5)</w:t>
      </w:r>
      <w:r>
        <w:rPr>
          <w:rFonts w:ascii="Times New Roman" w:hAnsi="Times New Roman"/>
          <w:b w:val="false"/>
          <w:i w:val="false"/>
          <w:color w:val="000000"/>
          <w:sz w:val="22"/>
        </w:rPr>
        <w:t> </w:t>
      </w:r>
      <w:r>
        <w:rPr>
          <w:rFonts w:ascii="Times New Roman" w:hAnsi="Times New Roman"/>
          <w:b w:val="false"/>
          <w:i/>
          <w:color w:val="000000"/>
          <w:sz w:val="22"/>
        </w:rPr>
        <w:t xml:space="preserve">Supervised clinical experience in other states. </w:t>
      </w:r>
      <w:r>
        <w:rPr>
          <w:rFonts w:ascii="Times New Roman" w:hAnsi="Times New Roman"/>
          <w:b w:val="false"/>
          <w:i w:val="false"/>
          <w:color w:val="000000"/>
          <w:sz w:val="22"/>
        </w:rPr>
        <w:t>An applicant who completed some or all of the supervised clinical experience in another state without obtaining licensure in that state should contact the board to determine whether some or all of the supervised clinical experience completed can be used to qualify for licensure in Iowa.</w:t>
      </w:r>
    </w:p>
    <w:p>
      <w:pPr>
        <w:spacing w:before="0" w:after="0"/>
        <w:ind w:left="120"/>
        <w:jc w:val="both"/>
      </w:pPr>
      <w:r>
        <w:rPr>
          <w:rFonts w:ascii="Times New Roman" w:hAnsi="Times New Roman"/>
          <w:b/>
          <w:i w:val="false"/>
          <w:color w:val="000000"/>
          <w:sz w:val="22"/>
        </w:rPr>
        <w:t>280.6(6)</w:t>
      </w:r>
      <w:r>
        <w:rPr>
          <w:rFonts w:ascii="Times New Roman" w:hAnsi="Times New Roman"/>
          <w:b w:val="false"/>
          <w:i w:val="false"/>
          <w:color w:val="000000"/>
          <w:sz w:val="22"/>
        </w:rPr>
        <w:t> </w:t>
      </w:r>
      <w:r>
        <w:rPr>
          <w:rFonts w:ascii="Times New Roman" w:hAnsi="Times New Roman"/>
          <w:b w:val="false"/>
          <w:i/>
          <w:color w:val="000000"/>
          <w:sz w:val="22"/>
        </w:rPr>
        <w:t xml:space="preserve">Grandfather clause. </w:t>
      </w:r>
      <w:r>
        <w:rPr>
          <w:rFonts w:ascii="Times New Roman" w:hAnsi="Times New Roman"/>
          <w:b w:val="false"/>
          <w:i w:val="false"/>
          <w:color w:val="000000"/>
          <w:sz w:val="22"/>
        </w:rPr>
        <w:t>Any new or additional requirements imposed by this rule do not apply to supervision that started prior to July 20, 2022.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645—280.7</w:t>
      </w:r>
      <w:r>
        <w:rPr>
          <w:rFonts w:ascii="Times New Roman" w:hAnsi="Times New Roman"/>
          <w:b/>
          <w:i w:val="false"/>
          <w:color w:val="000000"/>
          <w:sz w:val="22"/>
        </w:rPr>
        <w:t xml:space="preserve">(154C)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i w:val="false"/>
          <w:color w:val="000000"/>
          <w:sz w:val="22"/>
        </w:rPr>
        <w:t>280.7(1)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social work will begin on January 1 of odd-numbered years and end on December 31 of the next even-numbered year. Every licensee will renew on a biennial basis. The licensee is responsible for renewing the license prior to its expiration. Failure of the licensee to receive notice does not relieve the licensee of the responsibility for renewing the license.</w:t>
      </w:r>
    </w:p>
    <w:p>
      <w:pPr>
        <w:spacing w:before="0" w:after="0"/>
        <w:ind w:left="120"/>
        <w:jc w:val="both"/>
      </w:pPr>
      <w:r>
        <w:rPr>
          <w:rFonts w:ascii="Times New Roman" w:hAnsi="Times New Roman"/>
          <w:b/>
          <w:i w:val="false"/>
          <w:color w:val="000000"/>
          <w:sz w:val="22"/>
        </w:rPr>
        <w:t>280.7(2)</w:t>
      </w:r>
      <w:r>
        <w:rPr>
          <w:rFonts w:ascii="Times New Roman" w:hAnsi="Times New Roman"/>
          <w:b w:val="false"/>
          <w:i w:val="false"/>
          <w:color w:val="000000"/>
          <w:sz w:val="22"/>
        </w:rPr>
        <w:t> </w:t>
      </w:r>
      <w:r>
        <w:rPr>
          <w:rFonts w:ascii="Times New Roman" w:hAnsi="Times New Roman"/>
          <w:b w:val="false"/>
          <w:i w:val="false"/>
          <w:color w:val="000000"/>
          <w:sz w:val="22"/>
        </w:rPr>
        <w:t>Renewal procedures.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licensee seeking renewal will: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 the continuing education requirements of rule </w:t>
      </w:r>
      <w:hyperlink r:id="rId18">
        <w:r>
          <w:rPr>
            <w:rStyle w:val="Hyperlink"/>
            <w:rFonts w:ascii="Times New Roman" w:hAnsi="Times New Roman"/>
            <w:b w:val="false"/>
            <w:i w:val="false"/>
            <w:color w:val="000000"/>
            <w:sz w:val="22"/>
          </w:rPr>
          <w:t>645—281.2</w:t>
        </w:r>
      </w:hyperlink>
      <w:r>
        <w:rPr>
          <w:rFonts w:ascii="Times New Roman" w:hAnsi="Times New Roman"/>
          <w:b w:val="false"/>
          <w:i w:val="false"/>
          <w:color w:val="000000"/>
          <w:sz w:val="22"/>
        </w:rPr>
        <w:t xml:space="preserve">(154C) and the mandatory reporting requirements of subrule </w:t>
      </w:r>
      <w:hyperlink r:id="rId19">
        <w:r>
          <w:rPr>
            <w:rStyle w:val="Hyperlink"/>
            <w:rFonts w:ascii="Times New Roman" w:hAnsi="Times New Roman"/>
            <w:b w:val="false"/>
            <w:i w:val="false"/>
            <w:color w:val="000000"/>
            <w:sz w:val="22"/>
          </w:rPr>
          <w:t>280.7(3)</w:t>
        </w:r>
      </w:hyperlink>
      <w:r>
        <w:rPr>
          <w:rFonts w:ascii="Times New Roman" w:hAnsi="Times New Roman"/>
          <w:b w:val="false"/>
          <w:i w:val="false"/>
          <w:color w:val="000000"/>
          <w:sz w:val="22"/>
        </w:rPr>
        <w:t>;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Those persons licensed for the first time will not be required to complete continuing education as a prerequisite for the first renewal of their licenses. Continuing education hours acquired anytime from the initial licensing until the second license renewal may be used. The new licensee will be required to complete a minimum of 27 hours of continuing education per biennium for each subsequent license renewal.</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Persons licensed to practice social work shall keep their renewal licenses displayed in a conspicuous public place at the primary site of practice.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Failure to receive the notice of renewal will not relieve the licensee of the responsibility for submitting the required materials and the renewal fee to the board office 30 days before license expiration.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social worker whose Iowa license is delinquent, closed, retired, voluntarily surrendered, suspended, or revoked cannot advance to a higher level until the license is again active.</w:t>
      </w:r>
    </w:p>
    <w:p>
      <w:pPr>
        <w:spacing w:before="0" w:after="0"/>
        <w:ind w:left="120"/>
        <w:jc w:val="both"/>
      </w:pPr>
      <w:r>
        <w:rPr>
          <w:rFonts w:ascii="Times New Roman" w:hAnsi="Times New Roman"/>
          <w:b/>
          <w:i w:val="false"/>
          <w:color w:val="000000"/>
          <w:sz w:val="22"/>
        </w:rPr>
        <w:t>280.7(3)</w:t>
      </w:r>
      <w:r>
        <w:rPr>
          <w:rFonts w:ascii="Times New Roman" w:hAnsi="Times New Roman"/>
          <w:b w:val="false"/>
          <w:i w:val="false"/>
          <w:color w:val="000000"/>
          <w:sz w:val="22"/>
        </w:rPr>
        <w:t> </w:t>
      </w:r>
      <w:r>
        <w:rPr>
          <w:rFonts w:ascii="Times New Roman" w:hAnsi="Times New Roman"/>
          <w:b w:val="false"/>
          <w:i w:val="false"/>
          <w:color w:val="000000"/>
          <w:sz w:val="22"/>
        </w:rPr>
        <w:t>Mandatory reporting of child abuse and dependent adult abuse.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Effective July 1, 2019, a licensee who regularly examines, attends, counsels or treats children in Iowa will complete an initial two-hour child abuse mandatory reporter training course offered by the department of health and human services within six months of employment, or prior to the expiration of a current certificate. Thereafter, all mandatory reporters will take a one-hour recertification training every three years, prior to the expiration of a current certificate.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Effective July 1, 2019, a licensee who regularly examines, attends, counsels or treats adults in Iowa will complete an initial two-hour dependent adult abuse mandatory reporter training course offered by the department of health and human services within six months of employment, or prior to the expiration of a current certificate. Thereafter, all mandatory reporters will take a one-hour recertification training every three years, prior to the expiration of a current certificate.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requirement for mandatory reporter training for identifying and reporting child and dependent adult abuse will be suspended if the board determines that suspension is in the public interest or that a person at the time of license renewal: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Is engaged in active duty in the military service of this state or the United States.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Holds a current waiver by the board based on evidence of significant hardship in complying with training requirements, including waiver of continuing education requirements or extension of time in which to fulfill requirements due to a physical or mental disability or illness as identified in </w:t>
      </w:r>
      <w:hyperlink r:id="rId20">
        <w:r>
          <w:rPr>
            <w:rStyle w:val="Hyperlink"/>
            <w:rFonts w:ascii="Times New Roman" w:hAnsi="Times New Roman"/>
            <w:b w:val="false"/>
            <w:i w:val="false"/>
            <w:color w:val="000000"/>
            <w:sz w:val="22"/>
          </w:rPr>
          <w:t>645—Chapter 281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board may select licensees for audit of compliance with the requirements in paragraphs </w:t>
      </w:r>
      <w:hyperlink r:id="rId21">
        <w:r>
          <w:rPr>
            <w:rStyle w:val="Hyperlink"/>
            <w:rFonts w:ascii="Times New Roman" w:hAnsi="Times New Roman"/>
            <w:b w:val="false"/>
            <w:i w:val="false"/>
            <w:color w:val="000000"/>
            <w:sz w:val="22"/>
          </w:rPr>
          <w:t>280.7(3)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280.7(4)</w:t>
      </w:r>
      <w:r>
        <w:rPr>
          <w:rFonts w:ascii="Times New Roman" w:hAnsi="Times New Roman"/>
          <w:b w:val="false"/>
          <w:i w:val="false"/>
          <w:color w:val="000000"/>
          <w:sz w:val="22"/>
        </w:rPr>
        <w:t> </w:t>
      </w:r>
      <w:r>
        <w:rPr>
          <w:rFonts w:ascii="Times New Roman" w:hAnsi="Times New Roman"/>
          <w:b w:val="false"/>
          <w:i w:val="false"/>
          <w:color w:val="000000"/>
          <w:sz w:val="22"/>
        </w:rPr>
        <w:t>Late renewal. To renew a late license, the licensee will complete the renewal requirements and submit the late fee within the grace period.</w:t>
      </w:r>
    </w:p>
    <w:p>
      <w:pPr>
        <w:spacing w:before="0" w:after="0"/>
        <w:ind w:left="120"/>
        <w:jc w:val="both"/>
      </w:pPr>
      <w:r>
        <w:rPr>
          <w:rFonts w:ascii="Times New Roman" w:hAnsi="Times New Roman"/>
          <w:b/>
          <w:i w:val="false"/>
          <w:color w:val="000000"/>
          <w:sz w:val="22"/>
        </w:rPr>
        <w:t>280.7(5)</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social worker in Iowa until the license is reactivated. A licensee who practices as a social worker in the state of Iowa with an inactive license may be subject to disciplinary action by the board, injunctive action pursuant to Iowa Code section </w:t>
      </w:r>
      <w:hyperlink r:id="rId22">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23">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ind w:left="120"/>
        <w:jc w:val="both"/>
      </w:pPr>
      <w:r>
        <w:rPr>
          <w:rFonts w:ascii="Times New Roman" w:hAnsi="Times New Roman"/>
          <w:b/>
          <w:i w:val="false"/>
          <w:color w:val="000000"/>
          <w:sz w:val="22"/>
        </w:rPr>
        <w:t>280.7(6)</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will administratively issue a two-year license. In the event the board receives adverse information on the renewal application, the board will issue the renewal license but may refer the adverse information for further consideration or disciplinary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645—280.8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i w:val="false"/>
          <w:color w:val="000000"/>
          <w:sz w:val="22"/>
        </w:rPr>
        <w:t>280.8(1)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w:t>
      </w:r>
    </w:p>
    <w:p>
      <w:pPr>
        <w:spacing w:before="0" w:after="0"/>
        <w:ind w:left="120"/>
        <w:jc w:val="both"/>
      </w:pPr>
      <w:r>
        <w:rPr>
          <w:rFonts w:ascii="Times New Roman" w:hAnsi="Times New Roman"/>
          <w:b/>
          <w:i w:val="false"/>
          <w:color w:val="000000"/>
          <w:sz w:val="22"/>
        </w:rPr>
        <w:t>280.8(2)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24">
        <w:r>
          <w:rPr>
            <w:rStyle w:val="Hyperlink"/>
            <w:rFonts w:ascii="Times New Roman" w:hAnsi="Times New Roman"/>
            <w:b w:val="false"/>
            <w:i w:val="false"/>
            <w:color w:val="000000"/>
            <w:sz w:val="22"/>
          </w:rPr>
          <w:t>645—subrule 5.19(4)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280.8(3)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social work by satisfying one of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five years or less, an applicant will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completion of 27 hours of continuing education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the license has been on inactive status for more than five years, an applicant will provide the verifications in both subparagraphs </w:t>
      </w:r>
      <w:hyperlink r:id="rId25">
        <w:r>
          <w:rPr>
            <w:rStyle w:val="Hyperlink"/>
            <w:rFonts w:ascii="Times New Roman" w:hAnsi="Times New Roman"/>
            <w:b w:val="false"/>
            <w:i w:val="false"/>
            <w:color w:val="000000"/>
            <w:sz w:val="22"/>
          </w:rPr>
          <w:t>280.8(3)</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(2) below plus the verification in subparagraph </w:t>
      </w:r>
      <w:hyperlink r:id="rId26">
        <w:r>
          <w:rPr>
            <w:rStyle w:val="Hyperlink"/>
            <w:rFonts w:ascii="Times New Roman" w:hAnsi="Times New Roman"/>
            <w:b w:val="false"/>
            <w:i w:val="false"/>
            <w:color w:val="000000"/>
            <w:sz w:val="22"/>
          </w:rPr>
          <w:t>280.8(3)</w:t>
        </w:r>
      </w:hyperlink>
      <w:r>
        <w:rPr>
          <w:rFonts w:ascii="Times New Roman" w:hAnsi="Times New Roman"/>
          <w:b w:val="false"/>
          <w:i/>
          <w:color w:val="000000"/>
          <w:sz w:val="22"/>
        </w:rPr>
        <w:t>“b”</w:t>
      </w:r>
      <w:r>
        <w:rPr>
          <w:rFonts w:ascii="Times New Roman" w:hAnsi="Times New Roman"/>
          <w:b w:val="false"/>
          <w:i w:val="false"/>
          <w:color w:val="000000"/>
          <w:sz w:val="22"/>
        </w:rPr>
        <w:t>(3) or (4) below.</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completion of 27 hours of continuing education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passing the ASWB examination within the last five years at the appropriate or higher level as follows: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Bachelor level social worker—the bachelor’s level examination;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Master level social worker—the master’s level examination;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Independent level social worker—the clinical level examination; or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continued social work practice at the appropriate or higher level in another state for a minimum of two years immediately preceding the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645—280.9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27">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 xml:space="preserve">(272C) and must apply for and be granted reactivation of the license in accordance with rule </w:t>
      </w:r>
      <w:hyperlink r:id="rId28">
        <w:r>
          <w:rPr>
            <w:rStyle w:val="Hyperlink"/>
            <w:rFonts w:ascii="Times New Roman" w:hAnsi="Times New Roman"/>
            <w:b w:val="false"/>
            <w:i w:val="false"/>
            <w:color w:val="000000"/>
            <w:sz w:val="22"/>
          </w:rPr>
          <w:t>645—280.8</w:t>
        </w:r>
      </w:hyperlink>
      <w:r>
        <w:rPr>
          <w:rFonts w:ascii="Times New Roman" w:hAnsi="Times New Roman"/>
          <w:b w:val="false"/>
          <w:i w:val="false"/>
          <w:color w:val="000000"/>
          <w:sz w:val="22"/>
        </w:rPr>
        <w:t>(17A,147,272C) prior to practicing social work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8057C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21"/>
        </w:rPr>
        <w:t>[Filed 7/12/85, Notice 5/8/85—published 7/31/85, effective 9/4/85</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2/7/86—published 2/26/86, effective 2/7/86]</w:t>
      </w:r>
    </w:p>
    <w:p>
      <w:pPr>
        <w:spacing w:before="0" w:after="0"/>
        <w:ind w:left="120"/>
        <w:jc w:val="center"/>
      </w:pPr>
      <w:r>
        <w:rPr>
          <w:rFonts w:ascii="Times New Roman" w:hAnsi="Times New Roman"/>
          <w:b w:val="false"/>
          <w:i w:val="false"/>
          <w:color w:val="000000"/>
          <w:sz w:val="21"/>
        </w:rPr>
        <w:t>[Filed 8/7/86, Notice 6/18/86—published 8/27/86, effective 10/1/86]</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9/28/90, Notice 8/8/90—published 10/17/90, effective 11/21/90]</w:t>
      </w:r>
    </w:p>
    <w:p>
      <w:pPr>
        <w:spacing w:before="0" w:after="0"/>
        <w:ind w:left="120"/>
        <w:jc w:val="center"/>
      </w:pPr>
      <w:r>
        <w:rPr>
          <w:rFonts w:ascii="Times New Roman" w:hAnsi="Times New Roman"/>
          <w:b w:val="false"/>
          <w:i w:val="false"/>
          <w:color w:val="000000"/>
          <w:sz w:val="21"/>
        </w:rPr>
        <w:t>[Filed 8/26/92, Notice 2/19/92—published 9/16/92, effective 10/21/92</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1/13/95, Notice 10/26/94—published 2/1/95, effective 3/8/95]</w:t>
      </w:r>
    </w:p>
    <w:p>
      <w:pPr>
        <w:spacing w:before="0" w:after="0"/>
        <w:ind w:left="120"/>
        <w:jc w:val="center"/>
      </w:pPr>
      <w:r>
        <w:rPr>
          <w:rFonts w:ascii="Times New Roman" w:hAnsi="Times New Roman"/>
          <w:b w:val="false"/>
          <w:i w:val="false"/>
          <w:color w:val="000000"/>
          <w:sz w:val="21"/>
        </w:rPr>
        <w:t>[Filed 7/14/95, Notice 3/15/95—published 8/2/95, effective 9/6/95]</w:t>
      </w:r>
    </w:p>
    <w:p>
      <w:pPr>
        <w:spacing w:before="0" w:after="0"/>
        <w:ind w:left="120"/>
        <w:jc w:val="center"/>
      </w:pPr>
      <w:r>
        <w:rPr>
          <w:rFonts w:ascii="Times New Roman" w:hAnsi="Times New Roman"/>
          <w:b w:val="false"/>
          <w:i w:val="false"/>
          <w:color w:val="000000"/>
          <w:sz w:val="21"/>
        </w:rPr>
        <w:t>[Filed 5/2/96, Notice 1/3/96—published 5/22/96, effective 6/26/96]</w:t>
      </w:r>
    </w:p>
    <w:p>
      <w:pPr>
        <w:spacing w:before="0" w:after="0"/>
        <w:ind w:left="120"/>
        <w:jc w:val="center"/>
      </w:pPr>
      <w:r>
        <w:rPr>
          <w:rFonts w:ascii="Times New Roman" w:hAnsi="Times New Roman"/>
          <w:b w:val="false"/>
          <w:i w:val="false"/>
          <w:color w:val="000000"/>
          <w:sz w:val="21"/>
        </w:rPr>
        <w:t>[Filed 9/20/96, Notice 7/31/96—published 10/9/96, effective 11/13/96]</w:t>
      </w:r>
    </w:p>
    <w:p>
      <w:pPr>
        <w:spacing w:before="0" w:after="0"/>
        <w:ind w:left="120"/>
        <w:jc w:val="center"/>
      </w:pPr>
      <w:r>
        <w:rPr>
          <w:rFonts w:ascii="Times New Roman" w:hAnsi="Times New Roman"/>
          <w:b w:val="false"/>
          <w:i w:val="false"/>
          <w:color w:val="000000"/>
          <w:sz w:val="21"/>
        </w:rPr>
        <w:t>[Filed 7/24/98, Notice 5/6/98—published 8/12/98, effective 9/16/98]</w:t>
      </w:r>
    </w:p>
    <w:p>
      <w:pPr>
        <w:spacing w:before="0" w:after="0"/>
        <w:ind w:left="120"/>
        <w:jc w:val="center"/>
      </w:pPr>
      <w:r>
        <w:rPr>
          <w:rFonts w:ascii="Times New Roman" w:hAnsi="Times New Roman"/>
          <w:b w:val="false"/>
          <w:i w:val="false"/>
          <w:color w:val="000000"/>
          <w:sz w:val="21"/>
        </w:rPr>
        <w:t>[Filed 5/28/99, Notice 3/24/99—published 6/16/99, effective 7/21/99</w:t>
      </w:r>
      <w:r>
        <w:rPr>
          <w:rFonts w:ascii="Times New Roman" w:hAnsi="Times New Roman"/>
          <w:b w:val="false"/>
          <w:i w:val="false"/>
          <w:color w:val="000000"/>
          <w:sz w:val="10"/>
        </w:rPr>
        <w:t>3</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12/22/00, Notice 9/6/00—published 1/10/01, effective 2/14/01]</w:t>
      </w:r>
    </w:p>
    <w:p>
      <w:pPr>
        <w:spacing w:before="0" w:after="0"/>
        <w:ind w:left="120"/>
        <w:jc w:val="center"/>
      </w:pPr>
      <w:r>
        <w:rPr>
          <w:rFonts w:ascii="Times New Roman" w:hAnsi="Times New Roman"/>
          <w:b w:val="false"/>
          <w:i w:val="false"/>
          <w:color w:val="000000"/>
          <w:sz w:val="21"/>
        </w:rPr>
        <w:t>[Filed 8/30/01, Notice 6/13/01—published 9/19/01, effective 10/24/01]</w:t>
      </w:r>
    </w:p>
    <w:p>
      <w:pPr>
        <w:spacing w:before="0" w:after="0"/>
        <w:ind w:left="120"/>
        <w:jc w:val="center"/>
      </w:pPr>
      <w:r>
        <w:rPr>
          <w:rFonts w:ascii="Times New Roman" w:hAnsi="Times New Roman"/>
          <w:b w:val="false"/>
          <w:i w:val="false"/>
          <w:color w:val="000000"/>
          <w:sz w:val="21"/>
        </w:rPr>
        <w:t>[Filed 5/22/02, Notice 3/6/02—published 6/12/02, effective 7/17/02]</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8/14/03, Notice 6/11/03—published 9/3/03, effective 10/8/03]</w:t>
      </w:r>
    </w:p>
    <w:p>
      <w:pPr>
        <w:spacing w:before="0" w:after="0"/>
        <w:ind w:left="120"/>
        <w:jc w:val="center"/>
      </w:pPr>
      <w:r>
        <w:rPr>
          <w:rFonts w:ascii="Times New Roman" w:hAnsi="Times New Roman"/>
          <w:b w:val="false"/>
          <w:i w:val="false"/>
          <w:color w:val="000000"/>
          <w:sz w:val="21"/>
        </w:rPr>
        <w:t>[Filed 8/12/04, Notice 6/9/04—published 9/1/04, effective 10/6/04]</w:t>
      </w:r>
    </w:p>
    <w:p>
      <w:pPr>
        <w:spacing w:before="0" w:after="0"/>
        <w:ind w:left="120"/>
        <w:jc w:val="center"/>
      </w:pPr>
      <w:r>
        <w:rPr>
          <w:rFonts w:ascii="Times New Roman" w:hAnsi="Times New Roman"/>
          <w:b w:val="false"/>
          <w:i w:val="false"/>
          <w:color w:val="000000"/>
          <w:sz w:val="21"/>
        </w:rPr>
        <w:t>[Filed 11/8/04, Notice 9/1/04—published 12/8/04, effective 1/12/05]</w:t>
      </w:r>
    </w:p>
    <w:p>
      <w:pPr>
        <w:spacing w:before="0" w:after="0"/>
        <w:ind w:left="120"/>
        <w:jc w:val="center"/>
      </w:pPr>
      <w:r>
        <w:rPr>
          <w:rFonts w:ascii="Times New Roman" w:hAnsi="Times New Roman"/>
          <w:b w:val="false"/>
          <w:i w:val="false"/>
          <w:color w:val="000000"/>
          <w:sz w:val="21"/>
        </w:rPr>
        <w:t>[Filed 8/9/05, Notice 6/8/05—published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2/14/06, Notice 1/4/06—published 3/15/06, effective 4/19/06]</w:t>
      </w:r>
    </w:p>
    <w:p>
      <w:pPr>
        <w:spacing w:before="0" w:after="0"/>
        <w:ind w:left="120"/>
        <w:jc w:val="center"/>
      </w:pPr>
      <w:r>
        <w:rPr>
          <w:rFonts w:ascii="Times New Roman" w:hAnsi="Times New Roman"/>
          <w:b w:val="false"/>
          <w:i w:val="false"/>
          <w:color w:val="000000"/>
          <w:sz w:val="21"/>
        </w:rPr>
        <w:t>[Filed ARC 8371B</w:t>
      </w:r>
      <w:r>
        <w:rPr>
          <w:rFonts w:ascii="Times New Roman" w:hAnsi="Times New Roman"/>
          <w:b w:val="false"/>
          <w:i w:val="false"/>
          <w:color w:val="000000"/>
          <w:sz w:val="21"/>
        </w:rPr>
        <w:t xml:space="preserve"> (Notice ARC 8101B, IAB 9/9/09)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8586B</w:t>
      </w:r>
      <w:r>
        <w:rPr>
          <w:rFonts w:ascii="Times New Roman" w:hAnsi="Times New Roman"/>
          <w:b w:val="false"/>
          <w:i w:val="false"/>
          <w:color w:val="000000"/>
          <w:sz w:val="21"/>
        </w:rPr>
        <w:t xml:space="preserve"> (Notice ARC 8374B, IAB 12/16/09)</w:t>
      </w:r>
      <w:r>
        <w:rPr>
          <w:rFonts w:ascii="Times New Roman" w:hAnsi="Times New Roman"/>
          <w:b w:val="false"/>
          <w:i w:val="false"/>
          <w:color w:val="000000"/>
          <w:sz w:val="21"/>
        </w:rPr>
        <w:t>, IAB 3/10/10, effective 4/14/10]</w:t>
      </w:r>
      <w:r>
        <w:br/>
      </w:r>
      <w:r>
        <w:rPr>
          <w:rFonts w:ascii="Times New Roman" w:hAnsi="Times New Roman"/>
          <w:b w:val="false"/>
          <w:i w:val="false"/>
          <w:color w:val="000000"/>
          <w:sz w:val="21"/>
        </w:rPr>
        <w:t>[Filed ARC 8587B</w:t>
      </w:r>
      <w:r>
        <w:rPr>
          <w:rFonts w:ascii="Times New Roman" w:hAnsi="Times New Roman"/>
          <w:b w:val="false"/>
          <w:i w:val="false"/>
          <w:color w:val="000000"/>
          <w:sz w:val="21"/>
        </w:rPr>
        <w:t xml:space="preserve"> (Notice ARC 8368B, IAB 12/16/09)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9934B</w:t>
      </w:r>
      <w:r>
        <w:rPr>
          <w:rFonts w:ascii="Times New Roman" w:hAnsi="Times New Roman"/>
          <w:b w:val="false"/>
          <w:i w:val="false"/>
          <w:color w:val="000000"/>
          <w:sz w:val="21"/>
        </w:rPr>
        <w:t xml:space="preserve"> (Notice ARC 9750B, IAB 9/21/11)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0093C</w:t>
      </w:r>
      <w:r>
        <w:rPr>
          <w:rFonts w:ascii="Times New Roman" w:hAnsi="Times New Roman"/>
          <w:b w:val="false"/>
          <w:i w:val="false"/>
          <w:color w:val="000000"/>
          <w:sz w:val="21"/>
        </w:rPr>
        <w:t xml:space="preserve"> (Notice ARC 9946B, IAB 12/28/11)</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3744C</w:t>
      </w:r>
      <w:r>
        <w:rPr>
          <w:rFonts w:ascii="Times New Roman" w:hAnsi="Times New Roman"/>
          <w:b w:val="false"/>
          <w:i w:val="false"/>
          <w:color w:val="000000"/>
          <w:sz w:val="21"/>
        </w:rPr>
        <w:t xml:space="preserve"> (Notice ARC 3433C, IAB 11/8/17)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4981C</w:t>
      </w:r>
      <w:r>
        <w:rPr>
          <w:rFonts w:ascii="Times New Roman" w:hAnsi="Times New Roman"/>
          <w:b w:val="false"/>
          <w:i w:val="false"/>
          <w:color w:val="000000"/>
          <w:sz w:val="21"/>
        </w:rPr>
        <w:t xml:space="preserve"> (Notice ARC 4727C, IAB 10/23/19)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5771C</w:t>
      </w:r>
      <w:r>
        <w:rPr>
          <w:rFonts w:ascii="Times New Roman" w:hAnsi="Times New Roman"/>
          <w:b w:val="false"/>
          <w:i w:val="false"/>
          <w:color w:val="000000"/>
          <w:sz w:val="21"/>
        </w:rPr>
        <w:t xml:space="preserve"> (Notice ARC 5447C,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Emergency ARC 5795C, IAB 7/28/21, effective 6/30/21]</w:t>
      </w:r>
    </w:p>
    <w:p>
      <w:pPr>
        <w:spacing w:before="0" w:after="0"/>
        <w:ind w:left="120"/>
        <w:jc w:val="center"/>
      </w:pPr>
      <w:r>
        <w:rPr>
          <w:rFonts w:ascii="Times New Roman" w:hAnsi="Times New Roman"/>
          <w:b w:val="false"/>
          <w:i w:val="false"/>
          <w:color w:val="000000"/>
          <w:sz w:val="21"/>
        </w:rPr>
        <w:t>[Filed ARC 6131C</w:t>
      </w:r>
      <w:r>
        <w:rPr>
          <w:rFonts w:ascii="Times New Roman" w:hAnsi="Times New Roman"/>
          <w:b w:val="false"/>
          <w:i w:val="false"/>
          <w:color w:val="000000"/>
          <w:sz w:val="21"/>
        </w:rPr>
        <w:t xml:space="preserve"> (Notice ARC 5794C, IAB 7/28/21)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6357C</w:t>
      </w:r>
      <w:r>
        <w:rPr>
          <w:rFonts w:ascii="Times New Roman" w:hAnsi="Times New Roman"/>
          <w:b w:val="false"/>
          <w:i w:val="false"/>
          <w:color w:val="000000"/>
          <w:sz w:val="21"/>
        </w:rPr>
        <w:t xml:space="preserve"> (Notice ARC 6142C, IAB 1/12/22)</w:t>
      </w:r>
      <w:r>
        <w:rPr>
          <w:rFonts w:ascii="Times New Roman" w:hAnsi="Times New Roman"/>
          <w:b w:val="false"/>
          <w:i w:val="false"/>
          <w:color w:val="000000"/>
          <w:sz w:val="21"/>
        </w:rPr>
        <w:t>, IAB 6/15/22, effective 7/20/22]</w:t>
      </w:r>
    </w:p>
    <w:p>
      <w:pPr>
        <w:spacing w:before="0" w:after="0"/>
        <w:ind w:left="120"/>
        <w:jc w:val="center"/>
      </w:pPr>
      <w:r>
        <w:rPr>
          <w:rFonts w:ascii="Times New Roman" w:hAnsi="Times New Roman"/>
          <w:b w:val="false"/>
          <w:i w:val="false"/>
          <w:color w:val="000000"/>
          <w:sz w:val="21"/>
        </w:rPr>
        <w:t>[Filed ARC 6996C</w:t>
      </w:r>
      <w:r>
        <w:rPr>
          <w:rFonts w:ascii="Times New Roman" w:hAnsi="Times New Roman"/>
          <w:b w:val="false"/>
          <w:i w:val="false"/>
          <w:color w:val="000000"/>
          <w:sz w:val="21"/>
        </w:rPr>
        <w:t xml:space="preserve"> (Notice ARC 6652C,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8057C</w:t>
      </w:r>
      <w:r>
        <w:rPr>
          <w:rFonts w:ascii="Times New Roman" w:hAnsi="Times New Roman"/>
          <w:b w:val="false"/>
          <w:i w:val="false"/>
          <w:color w:val="000000"/>
          <w:sz w:val="21"/>
        </w:rPr>
        <w:t xml:space="preserve"> (Notice ARC 7639C, IAB 2/21/24)</w:t>
      </w:r>
      <w:r>
        <w:rPr>
          <w:rFonts w:ascii="Times New Roman" w:hAnsi="Times New Roman"/>
          <w:b w:val="false"/>
          <w:i w:val="false"/>
          <w:color w:val="000000"/>
          <w:sz w:val="21"/>
        </w:rPr>
        <w:t>, IAB 6/12/24, effective 7/17/24]</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Two or more ARCs</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of rules 161.212 to 161.217 delayed 70 days by the Administrative Rules Review Committee.</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of 280.100(154C) is July 1, 1993.</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 xml:space="preserve">Effective date of </w:t>
      </w:r>
      <w:r>
        <w:rPr>
          <w:rFonts w:ascii="Times New Roman" w:hAnsi="Times New Roman"/>
          <w:b/>
          <w:i w:val="false"/>
          <w:color w:val="000000"/>
          <w:sz w:val="16"/>
        </w:rPr>
        <w:t>ARC 9102A</w:t>
      </w:r>
      <w:r>
        <w:rPr>
          <w:rFonts w:ascii="Times New Roman" w:hAnsi="Times New Roman"/>
          <w:b w:val="false"/>
          <w:i w:val="false"/>
          <w:color w:val="000000"/>
          <w:sz w:val="16"/>
        </w:rPr>
        <w:t xml:space="preserve"> delayed 70 days by the Administrative Rules Review Committee at its meeting held July 13, 1999; delay lifted at the meeting held August 3, 1999, effective August 4, 1999.</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2.pdf" Type="http://schemas.openxmlformats.org/officeDocument/2006/relationships/hyperlink" Id="rId4"/>
    <Relationship TargetMode="External" Target="https://www.legis.iowa.gov/docs/iac/rule/645.280.8.pdf" Type="http://schemas.openxmlformats.org/officeDocument/2006/relationships/hyperlink" Id="rId5"/>
    <Relationship TargetMode="External" Target="https://www.legis.iowa.gov/docs/iac/rule/645.11.31.pdf" Type="http://schemas.openxmlformats.org/officeDocument/2006/relationships/hyperlink" Id="rId6"/>
    <Relationship TargetMode="External" Target="https://www.legis.iowa.gov/docs/iac/rule/645.5.19.pdf" Type="http://schemas.openxmlformats.org/officeDocument/2006/relationships/hyperlink" Id="rId7"/>
    <Relationship TargetMode="External" Target="https://www.legis.iowa.gov/docs/iac/rule/645.280.3.pdf" Type="http://schemas.openxmlformats.org/officeDocument/2006/relationships/hyperlink" Id="rId8"/>
    <Relationship TargetMode="External" Target="https://www.legis.iowa.gov/docs/iac/rule/645.280.4.pdf" Type="http://schemas.openxmlformats.org/officeDocument/2006/relationships/hyperlink" Id="rId9"/>
    <Relationship TargetMode="External" Target="https://www.legis.iowa.gov/docs/iac/rule/645.280.3.pdf" Type="http://schemas.openxmlformats.org/officeDocument/2006/relationships/hyperlink" Id="rId10"/>
    <Relationship TargetMode="External" Target="https://www.legis.iowa.gov/docs/iac/rule/645.280.3.pdf" Type="http://schemas.openxmlformats.org/officeDocument/2006/relationships/hyperlink" Id="rId11"/>
    <Relationship TargetMode="External" Target="https://www.legis.iowa.gov/docs/iac/rule/645.280.3.pdf" Type="http://schemas.openxmlformats.org/officeDocument/2006/relationships/hyperlink" Id="rId12"/>
    <Relationship TargetMode="External" Target="https://www.legis.iowa.gov/docs/iac/rule/645.280.4.pdf" Type="http://schemas.openxmlformats.org/officeDocument/2006/relationships/hyperlink" Id="rId13"/>
    <Relationship TargetMode="External" Target="https://www.legis.iowa.gov/docs/iac/rule/645.280.4.pdf" Type="http://schemas.openxmlformats.org/officeDocument/2006/relationships/hyperlink" Id="rId14"/>
    <Relationship TargetMode="External" Target="http://www.ierf.org" Type="http://schemas.openxmlformats.org/officeDocument/2006/relationships/hyperlink" Id="rId15"/>
    <Relationship TargetMode="External" Target="mailto:info@ierf.org" Type="http://schemas.openxmlformats.org/officeDocument/2006/relationships/hyperlink" Id="rId16"/>
    <Relationship TargetMode="External" Target="http://www.cswe.org" Type="http://schemas.openxmlformats.org/officeDocument/2006/relationships/hyperlink" Id="rId17"/>
    <Relationship TargetMode="External" Target="https://www.legis.iowa.gov/docs/iac/rule/645.281.2.pdf" Type="http://schemas.openxmlformats.org/officeDocument/2006/relationships/hyperlink" Id="rId18"/>
    <Relationship TargetMode="External" Target="https://www.legis.iowa.gov/docs/iac/rule/645.280.7.pdf" Type="http://schemas.openxmlformats.org/officeDocument/2006/relationships/hyperlink" Id="rId19"/>
    <Relationship TargetMode="External" Target="https://www.legis.iowa.gov/docs/iac/chapter/645.281.pdf" Type="http://schemas.openxmlformats.org/officeDocument/2006/relationships/hyperlink" Id="rId20"/>
    <Relationship TargetMode="External" Target="https://www.legis.iowa.gov/docs/iac/rule/645.280.7.pdf" Type="http://schemas.openxmlformats.org/officeDocument/2006/relationships/hyperlink" Id="rId21"/>
    <Relationship TargetMode="External" Target="https://www.legis.iowa.gov/docs/ico/chapter/147.pdf" Type="http://schemas.openxmlformats.org/officeDocument/2006/relationships/hyperlink" Id="rId22"/>
    <Relationship TargetMode="External" Target="https://www.legis.iowa.gov/docs/ico/chapter/147.pdf" Type="http://schemas.openxmlformats.org/officeDocument/2006/relationships/hyperlink" Id="rId23"/>
    <Relationship TargetMode="External" Target="https://www.legis.iowa.gov/docs/iac/rule/645.5.19.pdf" Type="http://schemas.openxmlformats.org/officeDocument/2006/relationships/hyperlink" Id="rId24"/>
    <Relationship TargetMode="External" Target="https://www.legis.iowa.gov/docs/iac/rule/645.280.8.pdf" Type="http://schemas.openxmlformats.org/officeDocument/2006/relationships/hyperlink" Id="rId25"/>
    <Relationship TargetMode="External" Target="https://www.legis.iowa.gov/docs/iac/rule/645.280.8.pdf" Type="http://schemas.openxmlformats.org/officeDocument/2006/relationships/hyperlink" Id="rId26"/>
    <Relationship TargetMode="External" Target="https://www.legis.iowa.gov/docs/iac/rule/645.11.31.pdf" Type="http://schemas.openxmlformats.org/officeDocument/2006/relationships/hyperlink" Id="rId27"/>
    <Relationship TargetMode="External" Target="https://www.legis.iowa.gov/docs/iac/rule/645.280.8.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147.pdf" Type="http://schemas.openxmlformats.org/officeDocument/2006/relationships/hyperlink" Id="rId30"/>
    <Relationship TargetMode="External" Target="https://www.legis.iowa.gov/docs/ico/chapter/154C.pdf" Type="http://schemas.openxmlformats.org/officeDocument/2006/relationships/hyperlink" Id="rId31"/>
    <Relationship TargetMode="External" Target="https://www.legis.iowa.gov/docs/ico/chapter/272C.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