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PODIATRISTS</w:t>
      </w:r>
    </w:p>
    <w:tbl>
      <w:tblPr>
        <w:tblW w:w="0" w:type="auto"/>
        <w:tblCellSpacing w:w="0" w:type="auto"/>
        <w:tblInd w:w="157" w:type="dxa"/>
        <w:tblBorders>
          <w:top w:val="none"/>
          <w:left w:val="none"/>
          <w:bottom w:val="none"/>
          <w:right w:val="none"/>
          <w:insideH w:val="none"/>
          <w:insideV w:val="none"/>
        </w:tblBorders>
      </w:tblPr>
      <w:tblGrid>
        <w:gridCol w:w="2212"/>
        <w:gridCol w:w="8663"/>
      </w:tblGrid>
      <w:tr>
        <w:trPr>
          <w:trHeight w:val="240" w:hRule="atLeast"/>
        </w:trPr>
        <w:tc>
          <w:tcPr>
            <w:tcW w:w="22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220</w:t>
            </w:r>
          </w:p>
        </w:tc>
        <w:tc>
          <w:tcPr>
            <w:tcW w:w="8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PODIATRISTS</w:t>
            </w:r>
          </w:p>
        </w:tc>
      </w:tr>
      <w:tr>
        <w:trPr>
          <w:trHeight w:val="240" w:hRule="atLeast"/>
        </w:trPr>
        <w:tc>
          <w:tcPr>
            <w:tcW w:w="22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221</w:t>
            </w:r>
          </w:p>
        </w:tc>
        <w:tc>
          <w:tcPr>
            <w:tcW w:w="8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ORTHOTISTS, PROSTHETISTS, AND PEDORTHISTS</w:t>
            </w:r>
          </w:p>
        </w:tc>
      </w:tr>
      <w:tr>
        <w:trPr>
          <w:trHeight w:val="240" w:hRule="atLeast"/>
        </w:trPr>
        <w:tc>
          <w:tcPr>
            <w:tcW w:w="22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222</w:t>
            </w:r>
          </w:p>
        </w:tc>
        <w:tc>
          <w:tcPr>
            <w:tcW w:w="8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PODIATRISTS</w:t>
            </w:r>
          </w:p>
        </w:tc>
      </w:tr>
      <w:tr>
        <w:trPr>
          <w:trHeight w:val="240" w:hRule="atLeast"/>
        </w:trPr>
        <w:tc>
          <w:tcPr>
            <w:tcW w:w="22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223</w:t>
            </w:r>
          </w:p>
        </w:tc>
        <w:tc>
          <w:tcPr>
            <w:tcW w:w="8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PODIATRY</w:t>
            </w:r>
          </w:p>
        </w:tc>
      </w:tr>
      <w:tr>
        <w:trPr>
          <w:trHeight w:val="435" w:hRule="atLeast"/>
        </w:trPr>
        <w:tc>
          <w:tcPr>
            <w:tcW w:w="22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224</w:t>
            </w:r>
          </w:p>
        </w:tc>
        <w:tc>
          <w:tcPr>
            <w:tcW w:w="8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PODIATRISTS, ORTHOTISTS, PROSTHETISTS, AND PEDORTHISTS</w:t>
            </w:r>
          </w:p>
        </w:tc>
      </w:tr>
      <w:tr>
        <w:trPr>
          <w:trHeight w:val="435" w:hRule="atLeast"/>
        </w:trPr>
        <w:tc>
          <w:tcPr>
            <w:tcW w:w="22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225</w:t>
            </w:r>
          </w:p>
        </w:tc>
        <w:tc>
          <w:tcPr>
            <w:tcW w:w="8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ORTHOTISTS, PROSTHETISTS, AND PEDORTHISTS</w:t>
            </w:r>
          </w:p>
        </w:tc>
      </w:tr>
      <w:tr>
        <w:trPr>
          <w:trHeight w:val="240" w:hRule="atLeast"/>
        </w:trPr>
        <w:tc>
          <w:tcPr>
            <w:tcW w:w="22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226</w:t>
            </w:r>
          </w:p>
        </w:tc>
        <w:tc>
          <w:tcPr>
            <w:tcW w:w="8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LICENSURE OF PODIATRISTS</w:t>
      </w:r>
    </w:p>
    <w:p>
      <w:pPr>
        <w:spacing w:before="0" w:after="0"/>
        <w:ind w:left="120"/>
        <w:jc w:val="both"/>
      </w:pPr>
      <w:r>
        <w:rPr>
          <w:rFonts w:ascii="Times New Roman" w:hAnsi="Times New Roman"/>
          <w:b/>
          <w:i w:val="false"/>
          <w:color w:val="000000"/>
          <w:sz w:val="22"/>
        </w:rPr>
        <w:t>645—220.1</w:t>
      </w:r>
      <w:r>
        <w:rPr>
          <w:rFonts w:ascii="Times New Roman" w:hAnsi="Times New Roman"/>
          <w:b/>
          <w:i w:val="false"/>
          <w:color w:val="000000"/>
          <w:sz w:val="22"/>
        </w:rPr>
        <w:t xml:space="preserve">(149)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podiatrist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podiatry to an applicant who is or has been licensed in another state.</w:t>
      </w:r>
    </w:p>
    <w:p>
      <w:pPr>
        <w:spacing w:before="0" w:after="0"/>
        <w:ind w:left="120"/>
        <w:jc w:val="both"/>
      </w:pPr>
      <w:r>
        <w:rPr>
          <w:rFonts w:ascii="Times New Roman" w:hAnsi="Times New Roman"/>
          <w:b w:val="false"/>
          <w:i/>
          <w:color w:val="000000"/>
          <w:sz w:val="22"/>
        </w:rPr>
        <w:t xml:space="preserve">“NBPME” </w:t>
      </w:r>
      <w:r>
        <w:rPr>
          <w:rFonts w:ascii="Times New Roman" w:hAnsi="Times New Roman"/>
          <w:b w:val="false"/>
          <w:i w:val="false"/>
          <w:color w:val="000000"/>
          <w:sz w:val="22"/>
        </w:rPr>
        <w:t>means National Board of Podiatric Medical Examiners.</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645—220.15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podiatry to an applicant who is currently licensed in another state that has a mutual agreement with the Iowa board of podiatry to license persons who have the same or similar qualifications to those required in Iowa.</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645—220.2</w:t>
      </w:r>
      <w:r>
        <w:rPr>
          <w:rFonts w:ascii="Times New Roman" w:hAnsi="Times New Roman"/>
          <w:b/>
          <w:i w:val="false"/>
          <w:color w:val="000000"/>
          <w:sz w:val="22"/>
        </w:rPr>
        <w:t xml:space="preserve">(149)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i w:val="false"/>
          <w:color w:val="000000"/>
          <w:sz w:val="22"/>
        </w:rPr>
        <w:t>220.2(1)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for licensure and pay the nonrefundable licensure fee specified in rule </w:t>
      </w:r>
      <w:hyperlink r:id="rId6">
        <w:r>
          <w:rPr>
            <w:rStyle w:val="Hyperlink"/>
            <w:rFonts w:ascii="Times New Roman" w:hAnsi="Times New Roman"/>
            <w:b w:val="false"/>
            <w:i w:val="false"/>
            <w:color w:val="000000"/>
            <w:sz w:val="22"/>
          </w:rPr>
          <w:t>645—5.15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i w:val="false"/>
          <w:color w:val="000000"/>
          <w:sz w:val="22"/>
        </w:rPr>
        <w:t>220.2(2)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complete until official copies of academic transcripts are received, verifying graduation from a college of podiatric medicine approved by the Council on Podiatric Medical Education (CPME) of the American Podiatric Medical Association. Transcripts must be sent directly from the college to the board.</w:t>
      </w:r>
    </w:p>
    <w:p>
      <w:pPr>
        <w:spacing w:before="0" w:after="0"/>
        <w:ind w:left="120"/>
        <w:jc w:val="both"/>
      </w:pPr>
      <w:r>
        <w:rPr>
          <w:rFonts w:ascii="Times New Roman" w:hAnsi="Times New Roman"/>
          <w:b/>
          <w:i w:val="false"/>
          <w:color w:val="000000"/>
          <w:sz w:val="22"/>
        </w:rPr>
        <w:t>220.2(3)</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do not need to renew their licenses until the renewal date two years later.</w:t>
      </w:r>
    </w:p>
    <w:p>
      <w:pPr>
        <w:spacing w:before="0" w:after="0"/>
        <w:ind w:left="120"/>
        <w:jc w:val="both"/>
      </w:pPr>
      <w:r>
        <w:rPr>
          <w:rFonts w:ascii="Times New Roman" w:hAnsi="Times New Roman"/>
          <w:b/>
          <w:i w:val="false"/>
          <w:color w:val="000000"/>
          <w:sz w:val="22"/>
        </w:rPr>
        <w:t>220.2(4)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Considered invalid and destroyed;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Retained upon written request of the applicant. The applicant is responsible for requesting that the file be retained.</w:t>
      </w:r>
    </w:p>
    <w:p>
      <w:pPr>
        <w:spacing w:before="0" w:after="0"/>
        <w:ind w:left="120"/>
        <w:jc w:val="both"/>
      </w:pPr>
      <w:r>
        <w:rPr>
          <w:rFonts w:ascii="Times New Roman" w:hAnsi="Times New Roman"/>
          <w:b/>
          <w:i w:val="false"/>
          <w:color w:val="000000"/>
          <w:sz w:val="22"/>
        </w:rPr>
        <w:t>220.2(5)</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i w:val="false"/>
          <w:color w:val="000000"/>
          <w:sz w:val="22"/>
        </w:rPr>
        <w:t>220.2(6)</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but before January 1, 2013, shall present documentation of successful completion of a residency approved by the CPME of the American Podiatric Medical Association.</w:t>
      </w:r>
    </w:p>
    <w:p>
      <w:pPr>
        <w:spacing w:before="0" w:after="0"/>
        <w:ind w:left="120"/>
        <w:jc w:val="both"/>
      </w:pPr>
      <w:r>
        <w:rPr>
          <w:rFonts w:ascii="Times New Roman" w:hAnsi="Times New Roman"/>
          <w:b/>
          <w:i w:val="false"/>
          <w:color w:val="000000"/>
          <w:sz w:val="22"/>
        </w:rPr>
        <w:t>220.2(7)</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shall present documentation of successful completion of two years of a residency approved by the CPME of the American Podiatric Medical Association.</w:t>
      </w:r>
    </w:p>
    <w:p>
      <w:pPr>
        <w:spacing w:before="0" w:after="0"/>
        <w:ind w:left="120"/>
        <w:jc w:val="both"/>
      </w:pPr>
      <w:r>
        <w:rPr>
          <w:rFonts w:ascii="Times New Roman" w:hAnsi="Times New Roman"/>
          <w:b/>
          <w:i w:val="false"/>
          <w:color w:val="000000"/>
          <w:sz w:val="22"/>
        </w:rPr>
        <w:t>220.2(8)</w:t>
      </w:r>
      <w:r>
        <w:rPr>
          <w:rFonts w:ascii="Times New Roman" w:hAnsi="Times New Roman"/>
          <w:b w:val="false"/>
          <w:i w:val="false"/>
          <w:color w:val="000000"/>
          <w:sz w:val="22"/>
        </w:rPr>
        <w:t> </w:t>
      </w:r>
      <w:r>
        <w:rPr>
          <w:rFonts w:ascii="Times New Roman" w:hAnsi="Times New Roman"/>
          <w:b w:val="false"/>
          <w:i w:val="false"/>
          <w:color w:val="000000"/>
          <w:sz w:val="22"/>
        </w:rPr>
        <w:t>Passing score reports for Part I, Part II, and Part III of the NBPME examination shall be sent directly from the examination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645—220.3</w:t>
      </w:r>
      <w:r>
        <w:rPr>
          <w:rFonts w:ascii="Times New Roman" w:hAnsi="Times New Roman"/>
          <w:b/>
          <w:i w:val="false"/>
          <w:color w:val="000000"/>
          <w:sz w:val="22"/>
        </w:rPr>
        <w:t xml:space="preserve">(149) </w:t>
      </w:r>
      <w:r>
        <w:rPr>
          <w:rFonts w:ascii="Times New Roman" w:hAnsi="Times New Roman"/>
          <w:b/>
          <w:i w:val="false"/>
          <w:color w:val="000000"/>
          <w:sz w:val="22"/>
        </w:rPr>
        <w:t xml:space="preserve">Written examinations. </w:t>
      </w:r>
    </w:p>
    <w:p>
      <w:pPr>
        <w:spacing w:before="0" w:after="0"/>
        <w:ind w:left="120"/>
        <w:jc w:val="both"/>
      </w:pPr>
      <w:r>
        <w:rPr>
          <w:rFonts w:ascii="Times New Roman" w:hAnsi="Times New Roman"/>
          <w:b/>
          <w:i w:val="false"/>
          <w:color w:val="000000"/>
          <w:sz w:val="22"/>
        </w:rPr>
        <w:t>220.3(1)</w:t>
      </w:r>
      <w:r>
        <w:rPr>
          <w:rFonts w:ascii="Times New Roman" w:hAnsi="Times New Roman"/>
          <w:b w:val="false"/>
          <w:i w:val="false"/>
          <w:color w:val="000000"/>
          <w:sz w:val="22"/>
        </w:rPr>
        <w:t> </w:t>
      </w:r>
      <w:r>
        <w:rPr>
          <w:rFonts w:ascii="Times New Roman" w:hAnsi="Times New Roman"/>
          <w:b w:val="false"/>
          <w:i w:val="false"/>
          <w:color w:val="000000"/>
          <w:sz w:val="22"/>
        </w:rPr>
        <w:t>The examinations required by the board shall be Part I, Part II, and Part III of the NBPME.</w:t>
      </w:r>
    </w:p>
    <w:p>
      <w:pPr>
        <w:spacing w:before="0" w:after="0"/>
        <w:ind w:left="120"/>
        <w:jc w:val="both"/>
      </w:pPr>
      <w:r>
        <w:rPr>
          <w:rFonts w:ascii="Times New Roman" w:hAnsi="Times New Roman"/>
          <w:b/>
          <w:i w:val="false"/>
          <w:color w:val="000000"/>
          <w:sz w:val="22"/>
        </w:rPr>
        <w:t>220.3(2)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Making arrangements to take the examinations;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Arranging to have the examination score reports sent directly to the board from the NBPME.</w:t>
      </w:r>
    </w:p>
    <w:p>
      <w:pPr>
        <w:spacing w:before="0" w:after="0"/>
        <w:ind w:left="120"/>
        <w:jc w:val="both"/>
      </w:pPr>
      <w:r>
        <w:rPr>
          <w:rFonts w:ascii="Times New Roman" w:hAnsi="Times New Roman"/>
          <w:b/>
          <w:i w:val="false"/>
          <w:color w:val="000000"/>
          <w:sz w:val="22"/>
        </w:rPr>
        <w:t>220.3(3)</w:t>
      </w:r>
      <w:r>
        <w:rPr>
          <w:rFonts w:ascii="Times New Roman" w:hAnsi="Times New Roman"/>
          <w:b w:val="false"/>
          <w:i w:val="false"/>
          <w:color w:val="000000"/>
          <w:sz w:val="22"/>
        </w:rPr>
        <w:t> </w:t>
      </w:r>
      <w:r>
        <w:rPr>
          <w:rFonts w:ascii="Times New Roman" w:hAnsi="Times New Roman"/>
          <w:b w:val="false"/>
          <w:i w:val="false"/>
          <w:color w:val="000000"/>
          <w:sz w:val="22"/>
        </w:rPr>
        <w:t>A passing score as recommended by the administrators of the NBPME examinations shall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645—220.4</w:t>
      </w:r>
      <w:r>
        <w:rPr>
          <w:rFonts w:ascii="Times New Roman" w:hAnsi="Times New Roman"/>
          <w:b/>
          <w:i w:val="false"/>
          <w:color w:val="000000"/>
          <w:sz w:val="22"/>
        </w:rPr>
        <w:t xml:space="preserve">(149)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i w:val="false"/>
          <w:color w:val="000000"/>
          <w:sz w:val="22"/>
        </w:rPr>
        <w:t>220.4(1)</w:t>
      </w:r>
      <w:r>
        <w:rPr>
          <w:rFonts w:ascii="Times New Roman" w:hAnsi="Times New Roman"/>
          <w:b w:val="false"/>
          <w:i w:val="false"/>
          <w:color w:val="000000"/>
          <w:sz w:val="22"/>
        </w:rPr>
        <w:t> </w:t>
      </w:r>
      <w:r>
        <w:rPr>
          <w:rFonts w:ascii="Times New Roman" w:hAnsi="Times New Roman"/>
          <w:b w:val="false"/>
          <w:i w:val="false"/>
          <w:color w:val="000000"/>
          <w:sz w:val="22"/>
        </w:rPr>
        <w:t>A new applicant for permanent or temporary licensure to practice as a podiatrist shall present official copies of academic transcripts, verifying graduation from a college of podiatric medicine approved by the CPME of the American Podiatric Medical Association. Transcripts must be sent directly from the college to the board of podiatry.</w:t>
      </w:r>
    </w:p>
    <w:p>
      <w:pPr>
        <w:spacing w:before="0" w:after="0"/>
        <w:ind w:left="120"/>
        <w:jc w:val="both"/>
      </w:pPr>
      <w:r>
        <w:rPr>
          <w:rFonts w:ascii="Times New Roman" w:hAnsi="Times New Roman"/>
          <w:b/>
          <w:i w:val="false"/>
          <w:color w:val="000000"/>
          <w:sz w:val="22"/>
        </w:rPr>
        <w:t>220.4(2)</w:t>
      </w:r>
      <w:r>
        <w:rPr>
          <w:rFonts w:ascii="Times New Roman" w:hAnsi="Times New Roman"/>
          <w:b w:val="false"/>
          <w:i w:val="false"/>
          <w:color w:val="000000"/>
          <w:sz w:val="22"/>
        </w:rPr>
        <w:t> </w:t>
      </w:r>
      <w:r>
        <w:rPr>
          <w:rFonts w:ascii="Times New Roman" w:hAnsi="Times New Roman"/>
          <w:b w:val="false"/>
          <w:i w:val="false"/>
          <w:color w:val="000000"/>
          <w:sz w:val="22"/>
        </w:rPr>
        <w:t>Foreign-trained podiatrists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 an equivalency evaluation of their educational credentials by one of the following: International Education Research Foundation, Inc., Credentials Evaluation Service, P.O. Box 3665, Culver City, CA 90231-3665, telephone 310.258.9451, website </w:t>
      </w:r>
      <w:hyperlink r:id="rId7">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8">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or International Credentialing Associates, Inc., 7245 Bryan Dairy Road, Bryan Dairy Business Park II, Largo, FL 33777, telephone 727.549.8555. The professional curriculum must be equivalent to that stated in these rules. The candidate shall bear the expense of the curriculum evaluation.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 notarized copy of the certificate or diploma awarded to the applicant from a podiatry program in the country in which the applicant was educated.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645—220.5</w:t>
      </w:r>
      <w:r>
        <w:rPr>
          <w:rFonts w:ascii="Times New Roman" w:hAnsi="Times New Roman"/>
          <w:b/>
          <w:i w:val="false"/>
          <w:color w:val="000000"/>
          <w:sz w:val="22"/>
        </w:rPr>
        <w:t xml:space="preserve">(149) </w:t>
      </w:r>
      <w:r>
        <w:rPr>
          <w:rFonts w:ascii="Times New Roman" w:hAnsi="Times New Roman"/>
          <w:b/>
          <w:i w:val="false"/>
          <w:color w:val="000000"/>
          <w:sz w:val="22"/>
        </w:rPr>
        <w:t xml:space="preserve">Title designations. </w:t>
      </w:r>
      <w:r>
        <w:rPr>
          <w:rFonts w:ascii="Times New Roman" w:hAnsi="Times New Roman"/>
          <w:b w:val="false"/>
          <w:i w:val="false"/>
          <w:color w:val="000000"/>
          <w:sz w:val="22"/>
        </w:rPr>
        <w:t>A podiatrist may use the prefix “Doctor” but shall add after the person’s name the word “Podiatrist” or “DPM.”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645—220.6</w:t>
      </w:r>
      <w:r>
        <w:rPr>
          <w:rFonts w:ascii="Times New Roman" w:hAnsi="Times New Roman"/>
          <w:b/>
          <w:i w:val="false"/>
          <w:color w:val="000000"/>
          <w:sz w:val="22"/>
        </w:rPr>
        <w:t xml:space="preserve">(147,149) </w:t>
      </w:r>
      <w:r>
        <w:rPr>
          <w:rFonts w:ascii="Times New Roman" w:hAnsi="Times New Roman"/>
          <w:b/>
          <w:i w:val="false"/>
          <w:color w:val="000000"/>
          <w:sz w:val="22"/>
        </w:rPr>
        <w:t xml:space="preserve">Temporary license. </w:t>
      </w:r>
    </w:p>
    <w:p>
      <w:pPr>
        <w:spacing w:before="0" w:after="0"/>
        <w:ind w:left="120"/>
        <w:jc w:val="both"/>
      </w:pPr>
      <w:r>
        <w:rPr>
          <w:rFonts w:ascii="Times New Roman" w:hAnsi="Times New Roman"/>
          <w:b/>
          <w:i w:val="false"/>
          <w:color w:val="000000"/>
          <w:sz w:val="22"/>
        </w:rPr>
        <w:t>220.6(1)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up to one year and may be annually renewed at the discretion of the board. Temporary licenses will expire on June 30.</w:t>
      </w:r>
    </w:p>
    <w:p>
      <w:pPr>
        <w:spacing w:before="0" w:after="0"/>
        <w:ind w:left="120"/>
        <w:jc w:val="both"/>
      </w:pPr>
      <w:r>
        <w:rPr>
          <w:rFonts w:ascii="Times New Roman" w:hAnsi="Times New Roman"/>
          <w:b/>
          <w:i w:val="false"/>
          <w:color w:val="000000"/>
          <w:sz w:val="22"/>
        </w:rPr>
        <w:t>220.6(2)</w:t>
      </w:r>
      <w:r>
        <w:rPr>
          <w:rFonts w:ascii="Times New Roman" w:hAnsi="Times New Roman"/>
          <w:b w:val="false"/>
          <w:i w:val="false"/>
          <w:color w:val="000000"/>
          <w:sz w:val="22"/>
        </w:rPr>
        <w:t> </w:t>
      </w:r>
      <w:r>
        <w:rPr>
          <w:rFonts w:ascii="Times New Roman" w:hAnsi="Times New Roman"/>
          <w:b w:val="false"/>
          <w:i w:val="false"/>
          <w:color w:val="000000"/>
          <w:sz w:val="22"/>
        </w:rPr>
        <w:t>Each applicant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completed online application for licensure and pay the nonrefundable licensure fee specified in rule </w:t>
      </w:r>
      <w:hyperlink r:id="rId9">
        <w:r>
          <w:rPr>
            <w:rStyle w:val="Hyperlink"/>
            <w:rFonts w:ascii="Times New Roman" w:hAnsi="Times New Roman"/>
            <w:b w:val="false"/>
            <w:i w:val="false"/>
            <w:color w:val="000000"/>
            <w:sz w:val="22"/>
          </w:rPr>
          <w:t>645—5.15</w:t>
        </w:r>
      </w:hyperlink>
      <w:r>
        <w:rPr>
          <w:rFonts w:ascii="Times New Roman" w:hAnsi="Times New Roman"/>
          <w:b w:val="false"/>
          <w:i w:val="false"/>
          <w:color w:val="000000"/>
          <w:sz w:val="22"/>
        </w:rPr>
        <w:t>(147,148F,149);</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official copies of academic transcripts sent directly to the board of podiatry from a college of podiatric medicine approved by the CPME of the American Podiatric Medical Association;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Request that passing score reports of the NBPME examination Part I and Part II be sent directly to the board of podiatry from the National Board of Podiatric Medical Examiners;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Furnish an affidavit by the institution director or dean of an approved podiatric college attesting that the applicant has been accepted into a residency program in this state that is approved by the CPME of the American Podiatric Medical Association;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Request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220.6(3)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i w:val="false"/>
          <w:color w:val="000000"/>
          <w:sz w:val="22"/>
        </w:rPr>
        <w:t>220.6(4)</w:t>
      </w:r>
      <w:r>
        <w:rPr>
          <w:rFonts w:ascii="Times New Roman" w:hAnsi="Times New Roman"/>
          <w:b w:val="false"/>
          <w:i w:val="false"/>
          <w:color w:val="000000"/>
          <w:sz w:val="22"/>
        </w:rPr>
        <w:t> </w:t>
      </w:r>
      <w:r>
        <w:rPr>
          <w:rFonts w:ascii="Times New Roman" w:hAnsi="Times New Roman"/>
          <w:b w:val="false"/>
          <w:i w:val="false"/>
          <w:color w:val="000000"/>
          <w:sz w:val="22"/>
        </w:rPr>
        <w:t>The ultimate decision to issue a temporary license resides with the board, and a temporary license shall be surrendered if the reason for issuance ceases to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645—220.7</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podiatrist under the laws of another jurisdiction may file an application for licensure by endorsement with the board office.</w:t>
      </w:r>
    </w:p>
    <w:p>
      <w:pPr>
        <w:spacing w:before="0" w:after="0"/>
        <w:ind w:left="120"/>
        <w:jc w:val="both"/>
      </w:pPr>
      <w:r>
        <w:rPr>
          <w:rFonts w:ascii="Times New Roman" w:hAnsi="Times New Roman"/>
          <w:b/>
          <w:i w:val="false"/>
          <w:color w:val="000000"/>
          <w:sz w:val="22"/>
        </w:rPr>
        <w:t>220.7(1)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another state, territory, province or foreign country who: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Submits a completed online application for licensure and pays the nonrefundable licensure fee specified in rule </w:t>
      </w:r>
      <w:hyperlink r:id="rId10">
        <w:r>
          <w:rPr>
            <w:rStyle w:val="Hyperlink"/>
            <w:rFonts w:ascii="Times New Roman" w:hAnsi="Times New Roman"/>
            <w:b w:val="false"/>
            <w:i w:val="false"/>
            <w:color w:val="000000"/>
            <w:sz w:val="22"/>
          </w:rPr>
          <w:t>645—5.15</w:t>
        </w:r>
      </w:hyperlink>
      <w:r>
        <w:rPr>
          <w:rFonts w:ascii="Times New Roman" w:hAnsi="Times New Roman"/>
          <w:b w:val="false"/>
          <w:i w:val="false"/>
          <w:color w:val="000000"/>
          <w:sz w:val="22"/>
        </w:rPr>
        <w:t>(147,148F,149);</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Shows evidence of licensure requirements that are similar to those required in Iowa;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the board with official copies of academic transcripts, verifying graduation from a college of podiatric medicine approved by the CPME of the American Podiatric Medical Association. Transcripts must be sent directly from the school to the board of podiatry;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220.7(2)</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the passing score reports for Part I and Part II of the NBPME examination. 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i w:val="false"/>
          <w:color w:val="000000"/>
          <w:sz w:val="22"/>
        </w:rPr>
        <w:t>220.7(3)</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passing score reports for Part III of the NBPME examination. An applicant who passed the Part III NBPME examination more than three years prior to the date of application in Iowa must submit proof of podiatry practice for one of the last three years.</w:t>
      </w:r>
    </w:p>
    <w:p>
      <w:pPr>
        <w:spacing w:before="0" w:after="0"/>
        <w:ind w:left="120"/>
        <w:jc w:val="both"/>
      </w:pPr>
      <w:r>
        <w:rPr>
          <w:rFonts w:ascii="Times New Roman" w:hAnsi="Times New Roman"/>
          <w:b/>
          <w:i w:val="false"/>
          <w:color w:val="000000"/>
          <w:sz w:val="22"/>
        </w:rPr>
        <w:t>220.7(4)</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must present documentation of successful completion of a residency approved by the CPME of the American Podiatric Medical Association.</w:t>
      </w:r>
    </w:p>
    <w:p>
      <w:pPr>
        <w:spacing w:before="0" w:after="0"/>
        <w:ind w:left="120"/>
        <w:jc w:val="both"/>
      </w:pPr>
      <w:r>
        <w:rPr>
          <w:rFonts w:ascii="Times New Roman" w:hAnsi="Times New Roman"/>
          <w:b/>
          <w:i w:val="false"/>
          <w:color w:val="000000"/>
          <w:sz w:val="22"/>
        </w:rPr>
        <w:t>220.7(5)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645—220.8</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220.8(1)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podiatry begins on July 1 of an even-numbered year and ends on June 30 of the next even-numbered year. The licensee is responsible for renewing the license prior to its expiration. </w:t>
      </w:r>
    </w:p>
    <w:p>
      <w:pPr>
        <w:spacing w:before="0" w:after="0"/>
        <w:ind w:left="120"/>
        <w:jc w:val="both"/>
      </w:pPr>
      <w:r>
        <w:rPr>
          <w:rFonts w:ascii="Times New Roman" w:hAnsi="Times New Roman"/>
          <w:b/>
          <w:i w:val="false"/>
          <w:color w:val="000000"/>
          <w:sz w:val="22"/>
        </w:rPr>
        <w:t>220.8(2)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individual’s license until the subsequent renewal two years later.</w:t>
      </w:r>
    </w:p>
    <w:p>
      <w:pPr>
        <w:spacing w:before="0" w:after="0"/>
        <w:ind w:left="120"/>
        <w:jc w:val="both"/>
      </w:pPr>
      <w:r>
        <w:rPr>
          <w:rFonts w:ascii="Times New Roman" w:hAnsi="Times New Roman"/>
          <w:b/>
          <w:i w:val="false"/>
          <w:color w:val="000000"/>
          <w:sz w:val="22"/>
        </w:rPr>
        <w:t>220.8(3)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and who is seeking renewal for the first time shall present documentation of successful completion of a residency program approved by the CPME of the American Podiatric Medical Association.</w:t>
      </w:r>
    </w:p>
    <w:p>
      <w:pPr>
        <w:spacing w:before="0" w:after="0"/>
        <w:ind w:left="120"/>
        <w:jc w:val="both"/>
      </w:pPr>
      <w:r>
        <w:rPr>
          <w:rFonts w:ascii="Times New Roman" w:hAnsi="Times New Roman"/>
          <w:b/>
          <w:i w:val="false"/>
          <w:color w:val="000000"/>
          <w:sz w:val="22"/>
        </w:rPr>
        <w:t>220.8(4)</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2">
        <w:r>
          <w:rPr>
            <w:rStyle w:val="Hyperlink"/>
            <w:rFonts w:ascii="Times New Roman" w:hAnsi="Times New Roman"/>
            <w:b w:val="false"/>
            <w:i w:val="false"/>
            <w:color w:val="000000"/>
            <w:sz w:val="22"/>
          </w:rPr>
          <w:t>645—222.2</w:t>
        </w:r>
      </w:hyperlink>
      <w:r>
        <w:rPr>
          <w:rFonts w:ascii="Times New Roman" w:hAnsi="Times New Roman"/>
          <w:b w:val="false"/>
          <w:i w:val="false"/>
          <w:color w:val="000000"/>
          <w:sz w:val="22"/>
        </w:rPr>
        <w:t xml:space="preserve">(149,272C) and the mandatory reporting requirements of </w:t>
      </w:r>
      <w:hyperlink r:id="rId13">
        <w:r>
          <w:rPr>
            <w:rStyle w:val="Hyperlink"/>
            <w:rFonts w:ascii="Times New Roman" w:hAnsi="Times New Roman"/>
            <w:b w:val="false"/>
            <w:i w:val="false"/>
            <w:color w:val="000000"/>
            <w:sz w:val="22"/>
          </w:rPr>
          <w:t>subrule 220.9(4)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220.8(5)</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indicate on the renewal application completion of two hours of training in child abuse identification and reporting in the previous five years or condition(s) for waiver of this requirement as identified in </w:t>
      </w:r>
      <w:hyperlink r:id="rId14">
        <w:r>
          <w:rPr>
            <w:rStyle w:val="Hyperlink"/>
            <w:rFonts w:ascii="Times New Roman" w:hAnsi="Times New Roman"/>
            <w:b w:val="false"/>
            <w:i w:val="false"/>
            <w:color w:val="000000"/>
            <w:sz w:val="22"/>
          </w:rPr>
          <w:t>paragraph 220.8(5)</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course of employment, examines, attends, counsels or treats adults in Iowa shall complete the applicable department of health and human services training related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6">
        <w:r>
          <w:rPr>
            <w:rStyle w:val="Hyperlink"/>
            <w:rFonts w:ascii="Times New Roman" w:hAnsi="Times New Roman"/>
            <w:b w:val="false"/>
            <w:i w:val="false"/>
            <w:color w:val="000000"/>
            <w:sz w:val="22"/>
          </w:rPr>
          <w:t>645—Chapter 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17">
        <w:r>
          <w:rPr>
            <w:rStyle w:val="Hyperlink"/>
            <w:rFonts w:ascii="Times New Roman" w:hAnsi="Times New Roman"/>
            <w:b w:val="false"/>
            <w:i w:val="false"/>
            <w:color w:val="000000"/>
            <w:sz w:val="22"/>
          </w:rPr>
          <w:t>220.8(5)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220.8(6)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220.8(7)</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i w:val="false"/>
          <w:color w:val="000000"/>
          <w:sz w:val="22"/>
        </w:rPr>
        <w:t>220.8(8)</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8">
        <w:r>
          <w:rPr>
            <w:rStyle w:val="Hyperlink"/>
            <w:rFonts w:ascii="Times New Roman" w:hAnsi="Times New Roman"/>
            <w:b w:val="false"/>
            <w:i w:val="false"/>
            <w:color w:val="000000"/>
            <w:sz w:val="22"/>
          </w:rPr>
          <w:t>645—subrule 5.15(3)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i w:val="false"/>
          <w:color w:val="000000"/>
          <w:sz w:val="22"/>
        </w:rPr>
        <w:t>220.8(9)</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podiatrist in Iowa until the license is reactivated. A licensee who practices as a podiatrist in the state of Iowa with an inactive license may be subject to disciplinary action by the board, injunctive action pursuant to Iowa Code section </w:t>
      </w:r>
      <w:hyperlink r:id="rId1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an applicant will:</w:t>
      </w:r>
    </w:p>
    <w:p>
      <w:pPr>
        <w:spacing w:before="0" w:after="0"/>
        <w:ind w:left="120"/>
        <w:jc w:val="both"/>
      </w:pPr>
      <w:r>
        <w:rPr>
          <w:rFonts w:ascii="Times New Roman" w:hAnsi="Times New Roman"/>
          <w:b/>
          <w:i w:val="false"/>
          <w:color w:val="000000"/>
          <w:sz w:val="22"/>
        </w:rPr>
        <w:t>220.9(1)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21">
        <w:r>
          <w:rPr>
            <w:rStyle w:val="Hyperlink"/>
            <w:rFonts w:ascii="Times New Roman" w:hAnsi="Times New Roman"/>
            <w:b w:val="false"/>
            <w:i w:val="false"/>
            <w:color w:val="000000"/>
            <w:sz w:val="22"/>
          </w:rPr>
          <w:t>645—5.15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i w:val="false"/>
          <w:color w:val="000000"/>
          <w:sz w:val="22"/>
        </w:rPr>
        <w:t>220.9(2)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podiatrist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40 hours of continuing education within two years of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80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2">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23">
        <w:r>
          <w:rPr>
            <w:rStyle w:val="Hyperlink"/>
            <w:rFonts w:ascii="Times New Roman" w:hAnsi="Times New Roman"/>
            <w:b w:val="false"/>
            <w:i w:val="false"/>
            <w:color w:val="000000"/>
            <w:sz w:val="22"/>
          </w:rPr>
          <w:t>645—220.15</w:t>
        </w:r>
      </w:hyperlink>
      <w:r>
        <w:rPr>
          <w:rFonts w:ascii="Times New Roman" w:hAnsi="Times New Roman"/>
          <w:b w:val="false"/>
          <w:i w:val="false"/>
          <w:color w:val="000000"/>
          <w:sz w:val="22"/>
        </w:rPr>
        <w:t>(17A,147,272C) prior to practicing as a podiatrist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July 1, 1952]</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5/12/78, Notice 11/16/77—published 5/31/78, effective 7/5/78]</w:t>
      </w:r>
    </w:p>
    <w:p>
      <w:pPr>
        <w:spacing w:before="0" w:after="0"/>
        <w:ind w:left="120"/>
        <w:jc w:val="center"/>
      </w:pPr>
      <w:r>
        <w:rPr>
          <w:rFonts w:ascii="Times New Roman" w:hAnsi="Times New Roman"/>
          <w:b w:val="false"/>
          <w:i w:val="false"/>
          <w:color w:val="000000"/>
          <w:sz w:val="21"/>
        </w:rPr>
        <w:t>[Filed 1/18/79, Notice 10/18/78—published 2/7/79, effective 4/1/79]</w:t>
      </w:r>
    </w:p>
    <w:p>
      <w:pPr>
        <w:spacing w:before="0" w:after="0"/>
        <w:ind w:left="120"/>
        <w:jc w:val="center"/>
      </w:pPr>
      <w:r>
        <w:rPr>
          <w:rFonts w:ascii="Times New Roman" w:hAnsi="Times New Roman"/>
          <w:b w:val="false"/>
          <w:i w:val="false"/>
          <w:color w:val="000000"/>
          <w:sz w:val="21"/>
        </w:rPr>
        <w:t>[Filed 3/18/82, Notice 1/20/82—published 4/14/82, effective 5/19/82]</w:t>
      </w:r>
    </w:p>
    <w:p>
      <w:pPr>
        <w:spacing w:before="0" w:after="0"/>
        <w:ind w:left="120"/>
        <w:jc w:val="center"/>
      </w:pPr>
      <w:r>
        <w:rPr>
          <w:rFonts w:ascii="Times New Roman" w:hAnsi="Times New Roman"/>
          <w:b w:val="false"/>
          <w:i w:val="false"/>
          <w:color w:val="000000"/>
          <w:sz w:val="21"/>
        </w:rPr>
        <w:t>[Filed 7/29/82, Notice 6/23/82—published 8/18/82, effective 9/22/82]</w:t>
      </w:r>
    </w:p>
    <w:p>
      <w:pPr>
        <w:spacing w:before="0" w:after="0"/>
        <w:ind w:left="120"/>
        <w:jc w:val="center"/>
      </w:pPr>
      <w:r>
        <w:rPr>
          <w:rFonts w:ascii="Times New Roman" w:hAnsi="Times New Roman"/>
          <w:b w:val="false"/>
          <w:i w:val="false"/>
          <w:color w:val="000000"/>
          <w:sz w:val="21"/>
        </w:rPr>
        <w:t>[Filed 11/30/83, Notice 9/14/83—published 12/21/83, effective 1/26/84]</w:t>
      </w:r>
    </w:p>
    <w:p>
      <w:pPr>
        <w:spacing w:before="0" w:after="0"/>
        <w:ind w:left="120"/>
        <w:jc w:val="center"/>
      </w:pPr>
      <w:r>
        <w:rPr>
          <w:rFonts w:ascii="Times New Roman" w:hAnsi="Times New Roman"/>
          <w:b w:val="false"/>
          <w:i w:val="false"/>
          <w:color w:val="000000"/>
          <w:sz w:val="21"/>
        </w:rPr>
        <w:t>[Filed emergency 5/18/84—published 6/6/84, effective 5/18/84]</w:t>
      </w:r>
    </w:p>
    <w:p>
      <w:pPr>
        <w:spacing w:before="0" w:after="0"/>
        <w:ind w:left="120"/>
        <w:jc w:val="center"/>
      </w:pPr>
      <w:r>
        <w:rPr>
          <w:rFonts w:ascii="Times New Roman" w:hAnsi="Times New Roman"/>
          <w:b w:val="false"/>
          <w:i w:val="false"/>
          <w:color w:val="000000"/>
          <w:sz w:val="21"/>
        </w:rPr>
        <w:t>[Filed 8/10/84, Notice 6/6/84—published 8/29/84, effective 10/3/84]</w:t>
      </w:r>
    </w:p>
    <w:p>
      <w:pPr>
        <w:spacing w:before="0" w:after="0"/>
        <w:ind w:left="120"/>
        <w:jc w:val="center"/>
      </w:pPr>
      <w:r>
        <w:rPr>
          <w:rFonts w:ascii="Times New Roman" w:hAnsi="Times New Roman"/>
          <w:b w:val="false"/>
          <w:i w:val="false"/>
          <w:color w:val="000000"/>
          <w:sz w:val="21"/>
        </w:rPr>
        <w:t>[Filed 11/15/84, Notice 8/29/84—published 12/5/84, effective 1/9/85]</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6/23/89, Notice 4/19/89—published 7/12/89, effective 8/16/89]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6/22/90, Notice 4/4/90—published 7/11/90, effective 8/15/90]</w:t>
      </w:r>
    </w:p>
    <w:p>
      <w:pPr>
        <w:spacing w:before="0" w:after="0"/>
        <w:ind w:left="120"/>
        <w:jc w:val="center"/>
      </w:pPr>
      <w:r>
        <w:rPr>
          <w:rFonts w:ascii="Times New Roman" w:hAnsi="Times New Roman"/>
          <w:b w:val="false"/>
          <w:i w:val="false"/>
          <w:color w:val="000000"/>
          <w:sz w:val="21"/>
        </w:rPr>
        <w:t>[Filed 11/22/92, Notice 8/7/91—published 12/11/91, effective 1/15/92]</w:t>
      </w:r>
    </w:p>
    <w:p>
      <w:pPr>
        <w:spacing w:before="0" w:after="0"/>
        <w:ind w:left="120"/>
        <w:jc w:val="center"/>
      </w:pPr>
      <w:r>
        <w:rPr>
          <w:rFonts w:ascii="Times New Roman" w:hAnsi="Times New Roman"/>
          <w:b w:val="false"/>
          <w:i w:val="false"/>
          <w:color w:val="000000"/>
          <w:sz w:val="21"/>
        </w:rPr>
        <w:t>[Filed 3/13/92, Notice 12/25/91—published 4/1/92, effective 5/6/92]</w:t>
      </w:r>
    </w:p>
    <w:p>
      <w:pPr>
        <w:spacing w:before="0" w:after="0"/>
        <w:ind w:left="120"/>
        <w:jc w:val="center"/>
      </w:pPr>
      <w:r>
        <w:rPr>
          <w:rFonts w:ascii="Times New Roman" w:hAnsi="Times New Roman"/>
          <w:b w:val="false"/>
          <w:i w:val="false"/>
          <w:color w:val="000000"/>
          <w:sz w:val="21"/>
        </w:rPr>
        <w:t>[Filed 11/20/92, Notice 9/30/92—published 12/9/92, effective 1/13/93]</w:t>
      </w:r>
    </w:p>
    <w:p>
      <w:pPr>
        <w:spacing w:before="0" w:after="0"/>
        <w:ind w:left="120"/>
        <w:jc w:val="center"/>
      </w:pPr>
      <w:r>
        <w:rPr>
          <w:rFonts w:ascii="Times New Roman" w:hAnsi="Times New Roman"/>
          <w:b w:val="false"/>
          <w:i w:val="false"/>
          <w:color w:val="000000"/>
          <w:sz w:val="21"/>
        </w:rPr>
        <w:t>[Filed 4/23/93, Notice 12/9/92—published 5/12/93, effective 6/16/93]</w:t>
      </w:r>
    </w:p>
    <w:p>
      <w:pPr>
        <w:spacing w:before="0" w:after="0"/>
        <w:ind w:left="120"/>
        <w:jc w:val="center"/>
      </w:pPr>
      <w:r>
        <w:rPr>
          <w:rFonts w:ascii="Times New Roman" w:hAnsi="Times New Roman"/>
          <w:b w:val="false"/>
          <w:i w:val="false"/>
          <w:color w:val="000000"/>
          <w:sz w:val="21"/>
        </w:rPr>
        <w:t>[Filed 2/25/94, Notice 11/10/93—published 3/16/94, effective 4/20/94]</w:t>
      </w:r>
    </w:p>
    <w:p>
      <w:pPr>
        <w:spacing w:before="0" w:after="0"/>
        <w:ind w:left="120"/>
        <w:jc w:val="center"/>
      </w:pPr>
      <w:r>
        <w:rPr>
          <w:rFonts w:ascii="Times New Roman" w:hAnsi="Times New Roman"/>
          <w:b w:val="false"/>
          <w:i w:val="false"/>
          <w:color w:val="000000"/>
          <w:sz w:val="21"/>
        </w:rPr>
        <w:t>[Filed 12/15/94, Notice 8/17/94—published 1/4/95, effective 2/8/95]</w:t>
      </w:r>
    </w:p>
    <w:p>
      <w:pPr>
        <w:spacing w:before="0" w:after="0"/>
        <w:ind w:left="120"/>
        <w:jc w:val="center"/>
      </w:pPr>
      <w:r>
        <w:rPr>
          <w:rFonts w:ascii="Times New Roman" w:hAnsi="Times New Roman"/>
          <w:b w:val="false"/>
          <w:i w:val="false"/>
          <w:color w:val="000000"/>
          <w:sz w:val="21"/>
        </w:rPr>
        <w:t>[Filed 4/19/95, Notice 2/15/95—published 5/10/95, effective 6/14/95]</w:t>
      </w:r>
    </w:p>
    <w:p>
      <w:pPr>
        <w:spacing w:before="0" w:after="0"/>
        <w:ind w:left="120"/>
        <w:jc w:val="center"/>
      </w:pPr>
      <w:r>
        <w:rPr>
          <w:rFonts w:ascii="Times New Roman" w:hAnsi="Times New Roman"/>
          <w:b w:val="false"/>
          <w:i w:val="false"/>
          <w:color w:val="000000"/>
          <w:sz w:val="21"/>
        </w:rPr>
        <w:t>[Filed 7/14/95, Notice 5/10/95—published 8/2/95, effective 9/6/95]</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5/28/99, Notice 2/24/99—published 6/16/99, effective 7/21/99]</w:t>
      </w:r>
    </w:p>
    <w:p>
      <w:pPr>
        <w:spacing w:before="0" w:after="0"/>
        <w:ind w:left="120"/>
        <w:jc w:val="center"/>
      </w:pPr>
      <w:r>
        <w:rPr>
          <w:rFonts w:ascii="Times New Roman" w:hAnsi="Times New Roman"/>
          <w:b w:val="false"/>
          <w:i w:val="false"/>
          <w:color w:val="000000"/>
          <w:sz w:val="21"/>
        </w:rPr>
        <w:t>[Filed 7/9/99, Notice 4/7/99—published 7/28/99, effective 9/1/99]</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1/15/03, Notice 10/30/02—published 2/5/03, effective 3/12/03]</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8028B</w:t>
      </w:r>
      <w:r>
        <w:rPr>
          <w:rFonts w:ascii="Times New Roman" w:hAnsi="Times New Roman"/>
          <w:b w:val="false"/>
          <w:i w:val="false"/>
          <w:color w:val="000000"/>
          <w:sz w:val="21"/>
        </w:rPr>
        <w:t xml:space="preserve"> (Notice ARC 7779B, IAB 5/20/09)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9509B</w:t>
      </w:r>
      <w:r>
        <w:rPr>
          <w:rFonts w:ascii="Times New Roman" w:hAnsi="Times New Roman"/>
          <w:b w:val="false"/>
          <w:i w:val="false"/>
          <w:color w:val="000000"/>
          <w:sz w:val="21"/>
        </w:rPr>
        <w:t xml:space="preserve"> (Notice ARC 9401B, IAB 3/9/11)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0939C</w:t>
      </w:r>
      <w:r>
        <w:rPr>
          <w:rFonts w:ascii="Times New Roman" w:hAnsi="Times New Roman"/>
          <w:b w:val="false"/>
          <w:i w:val="false"/>
          <w:color w:val="000000"/>
          <w:sz w:val="21"/>
        </w:rPr>
        <w:t xml:space="preserve"> (Notice ARC 0555C, IAB 1/9/13)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5768C</w:t>
      </w:r>
      <w:r>
        <w:rPr>
          <w:rFonts w:ascii="Times New Roman" w:hAnsi="Times New Roman"/>
          <w:b w:val="false"/>
          <w:i w:val="false"/>
          <w:color w:val="000000"/>
          <w:sz w:val="21"/>
        </w:rPr>
        <w:t xml:space="preserve"> (Notice ARC 5444C,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6994C</w:t>
      </w:r>
      <w:r>
        <w:rPr>
          <w:rFonts w:ascii="Times New Roman" w:hAnsi="Times New Roman"/>
          <w:b w:val="false"/>
          <w:i w:val="false"/>
          <w:color w:val="000000"/>
          <w:sz w:val="21"/>
        </w:rPr>
        <w:t xml:space="preserve"> (Notice ARC 6653C,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7986C</w:t>
      </w:r>
      <w:r>
        <w:rPr>
          <w:rFonts w:ascii="Times New Roman" w:hAnsi="Times New Roman"/>
          <w:b w:val="false"/>
          <w:i w:val="false"/>
          <w:color w:val="000000"/>
          <w:sz w:val="21"/>
        </w:rPr>
        <w:t xml:space="preserve"> (Notice ARC 7175C, IAB 12/13/23)</w:t>
      </w:r>
      <w:r>
        <w:rPr>
          <w:rFonts w:ascii="Times New Roman" w:hAnsi="Times New Roman"/>
          <w:b w:val="false"/>
          <w:i w:val="false"/>
          <w:color w:val="000000"/>
          <w:sz w:val="21"/>
        </w:rPr>
        <w:t>, IAB 5/15/24, effective 6/19/24]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220.15.pdf" Type="http://schemas.openxmlformats.org/officeDocument/2006/relationships/hyperlink" Id="rId4"/>
    <Relationship TargetMode="External" Target="https://www.legis.iowa.gov/docs/iac/rule/645.11.31.pdf" Type="http://schemas.openxmlformats.org/officeDocument/2006/relationships/hyperlink" Id="rId5"/>
    <Relationship TargetMode="External" Target="https://www.legis.iowa.gov/docs/iac/rule/645.5.15.pdf" Type="http://schemas.openxmlformats.org/officeDocument/2006/relationships/hyperlink" Id="rId6"/>
    <Relationship TargetMode="External" Target="http://www.ierf.org" Type="http://schemas.openxmlformats.org/officeDocument/2006/relationships/hyperlink" Id="rId7"/>
    <Relationship TargetMode="External" Target="mailto:info@ierf.org" Type="http://schemas.openxmlformats.org/officeDocument/2006/relationships/hyperlink" Id="rId8"/>
    <Relationship TargetMode="External" Target="https://www.legis.iowa.gov/docs/iac/rule/645.5.15.pdf" Type="http://schemas.openxmlformats.org/officeDocument/2006/relationships/hyperlink" Id="rId9"/>
    <Relationship TargetMode="External" Target="https://www.legis.iowa.gov/docs/iac/rule/645.5.15.pdf" Type="http://schemas.openxmlformats.org/officeDocument/2006/relationships/hyperlink" Id="rId10"/>
    <Relationship TargetMode="External" Target="https://www.legis.iowa.gov/docs/iac/rule/645.19.1.pdf" Type="http://schemas.openxmlformats.org/officeDocument/2006/relationships/hyperlink" Id="rId11"/>
    <Relationship TargetMode="External" Target="https://www.legis.iowa.gov/docs/iac/rule/645.222.2.pdf" Type="http://schemas.openxmlformats.org/officeDocument/2006/relationships/hyperlink" Id="rId12"/>
    <Relationship TargetMode="External" Target="https://www.legis.iowa.gov/docs/iac/rule/645.220.9.pdf" Type="http://schemas.openxmlformats.org/officeDocument/2006/relationships/hyperlink" Id="rId13"/>
    <Relationship TargetMode="External" Target="https://www.legis.iowa.gov/docs/iac/rule/645.220.8.pdf" Type="http://schemas.openxmlformats.org/officeDocument/2006/relationships/hyperlink" Id="rId14"/>
    <Relationship TargetMode="External" Target="https://www.legis.iowa.gov/docs/ico/chapter/232.pdf" Type="http://schemas.openxmlformats.org/officeDocument/2006/relationships/hyperlink" Id="rId15"/>
    <Relationship TargetMode="External" Target="https://www.legis.iowa.gov/docs/iac/chapter/645.4.pdf" Type="http://schemas.openxmlformats.org/officeDocument/2006/relationships/hyperlink" Id="rId16"/>
    <Relationship TargetMode="External" Target="https://www.legis.iowa.gov/docs/iac/rule/645.220.8.pdf" Type="http://schemas.openxmlformats.org/officeDocument/2006/relationships/hyperlink" Id="rId17"/>
    <Relationship TargetMode="External" Target="https://www.legis.iowa.gov/docs/iac/rule/645.5.15.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ac/rule/645.5.15.pdf" Type="http://schemas.openxmlformats.org/officeDocument/2006/relationships/hyperlink" Id="rId21"/>
    <Relationship TargetMode="External" Target="https://www.legis.iowa.gov/docs/iac/rule/645.11.31.pdf" Type="http://schemas.openxmlformats.org/officeDocument/2006/relationships/hyperlink" Id="rId22"/>
    <Relationship TargetMode="External" Target="https://www.legis.iowa.gov/docs/iac/rule/645.220.1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49.pdf" Type="http://schemas.openxmlformats.org/officeDocument/2006/relationships/hyperlink" Id="rId26"/>
    <Relationship TargetMode="External" Target="https://www.legis.iowa.gov/docs/ico/chapter/272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