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HEARING AID SPECIALISTS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121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HEARING AID SPECIALISTS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122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HEARING AID SPECIALISTS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123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HEARING AID DISPENSING</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124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HEARING AID SPECIALISTS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125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121</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14"/>
        </w:rPr>
        <w:t>[Prior to 5/29/02, see 645—120.2(154A) to 120.6(154A) and 120.10(154A)]</w:t>
      </w:r>
    </w:p>
    <w:p>
      <w:pPr>
        <w:spacing w:before="0" w:after="0"/>
        <w:ind w:left="120"/>
        <w:jc w:val="both"/>
      </w:pPr>
      <w:r>
        <w:rPr>
          <w:rFonts w:ascii="Times New Roman" w:hAnsi="Times New Roman"/>
          <w:b/>
          <w:i w:val="false"/>
          <w:color w:val="000000"/>
          <w:sz w:val="22"/>
        </w:rPr>
        <w:t>645—121.1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hearing aid specialists.</w:t>
      </w:r>
    </w:p>
    <w:p>
      <w:pPr>
        <w:spacing w:before="0" w:after="0"/>
        <w:ind w:left="120"/>
        <w:jc w:val="both"/>
      </w:pP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4">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board.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645—121.14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Once the license is reinstated, the licensee may apply for active status.</w:t>
      </w:r>
    </w:p>
    <w:p>
      <w:pPr>
        <w:spacing w:before="0" w:after="0"/>
        <w:ind w:left="120"/>
        <w:jc w:val="both"/>
      </w:pPr>
      <w:r>
        <w:rPr>
          <w:rFonts w:ascii="Times New Roman" w:hAnsi="Times New Roman"/>
          <w:b w:val="false"/>
          <w:i/>
          <w:color w:val="000000"/>
          <w:sz w:val="22"/>
        </w:rPr>
        <w:t xml:space="preserve">“Temporary permit”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color w:val="000000"/>
          <w:sz w:val="22"/>
        </w:rPr>
        <w:t xml:space="preserve">“Trainee”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7">
        <w:r>
          <w:rPr>
            <w:rStyle w:val="Hyperlink"/>
            <w:rFonts w:ascii="Times New Roman" w:hAnsi="Times New Roman"/>
            <w:b w:val="false"/>
            <w:i w:val="false"/>
            <w:color w:val="000000"/>
            <w:sz w:val="22"/>
          </w:rPr>
          <w:t>645—5.7</w:t>
        </w:r>
      </w:hyperlink>
      <w:r>
        <w:rPr>
          <w:rFonts w:ascii="Times New Roman" w:hAnsi="Times New Roman"/>
          <w:b w:val="false"/>
          <w:i w:val="false"/>
          <w:color w:val="000000"/>
          <w:sz w:val="22"/>
        </w:rPr>
        <w:t>(147,154A). The application will be accompanied by a statement from the employer, which includes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supervision to be provided to the trainee;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 of the subjects to be covered;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books and other training materials to be used for training;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one year and shall not be renewable.</w:t>
      </w:r>
    </w:p>
    <w:p>
      <w:pPr>
        <w:spacing w:before="0" w:after="0"/>
        <w:ind w:left="120"/>
        <w:jc w:val="both"/>
      </w:pP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a current hearing aid specialist license valid for the preceding 24 months;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two years of actual experience in testing, fitting, and dispensing of hearing aids;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Supervise no more than three trainees at the same time;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responsible for training the temporary permit holder;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the first 90 days, provide a minimum of 20 hours of direct supervision;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Cosign all audiometric evaluations and contracts processed by the trainee for the duration of the temporary permit; </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on a board-approved form, a supervision report for trainees prior to taking the board-approved examination. A supervision report is required each time the temporary permit holder submits a request to take the examination; and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Notify the board within 15 days of the termination of the holder of a temporary permit.</w:t>
      </w:r>
    </w:p>
    <w:p>
      <w:pPr>
        <w:spacing w:before="0" w:after="0"/>
        <w:ind w:left="120"/>
        <w:jc w:val="both"/>
      </w:pP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board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applies to licensure:</w:t>
      </w:r>
    </w:p>
    <w:p>
      <w:pPr>
        <w:spacing w:before="0" w:after="0"/>
        <w:ind w:left="120"/>
        <w:jc w:val="both"/>
      </w:pP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8">
        <w:r>
          <w:rPr>
            <w:rStyle w:val="Hyperlink"/>
            <w:rFonts w:ascii="Times New Roman" w:hAnsi="Times New Roman"/>
            <w:b w:val="false"/>
            <w:i w:val="false"/>
            <w:color w:val="000000"/>
            <w:sz w:val="22"/>
          </w:rPr>
          <w:t>645—5.7</w:t>
        </w:r>
      </w:hyperlink>
      <w:r>
        <w:rPr>
          <w:rFonts w:ascii="Times New Roman" w:hAnsi="Times New Roman"/>
          <w:b w:val="false"/>
          <w:i w:val="false"/>
          <w:color w:val="000000"/>
          <w:sz w:val="22"/>
        </w:rPr>
        <w:t>(147,154A).</w:t>
      </w:r>
    </w:p>
    <w:p>
      <w:pPr>
        <w:spacing w:before="0" w:after="0"/>
        <w:ind w:left="120"/>
        <w:jc w:val="both"/>
      </w:pP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national examination through the International Hearing Society. The applicant may not take the national test through IHS more than six times without board approval.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i w:val="false"/>
          <w:color w:val="000000"/>
          <w:sz w:val="22"/>
        </w:rPr>
        <w:t>121.4(3)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hold a temporary permit are required to submit a supervisory report in accordance with paragraph </w:t>
      </w:r>
      <w:hyperlink r:id="rId9">
        <w:r>
          <w:rPr>
            <w:rStyle w:val="Hyperlink"/>
            <w:rFonts w:ascii="Times New Roman" w:hAnsi="Times New Roman"/>
            <w:b w:val="false"/>
            <w:i w:val="false"/>
            <w:color w:val="000000"/>
            <w:sz w:val="22"/>
          </w:rPr>
          <w:t>121.3(1)</w:t>
        </w:r>
      </w:hyperlink>
      <w:r>
        <w:rPr>
          <w:rFonts w:ascii="Times New Roman" w:hAnsi="Times New Roman"/>
          <w:b w:val="false"/>
          <w:i/>
          <w:color w:val="000000"/>
          <w:sz w:val="22"/>
        </w:rPr>
        <w:t>“i.”</w:t>
      </w:r>
    </w:p>
    <w:p>
      <w:pPr>
        <w:spacing w:before="0" w:after="0"/>
        <w:ind w:left="120"/>
        <w:jc w:val="both"/>
      </w:pPr>
      <w:r>
        <w:rPr>
          <w:rFonts w:ascii="Times New Roman" w:hAnsi="Times New Roman"/>
          <w:b/>
          <w:i w:val="false"/>
          <w:color w:val="000000"/>
          <w:sz w:val="22"/>
        </w:rPr>
        <w:t>121.4(4)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121.4(5)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0">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121.4(6)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been a licensed hearing aid specialist under the laws of another jurisdiction may apply for licensure by endorsement by submitting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the applicant meets the requirements of rule </w:t>
      </w:r>
      <w:hyperlink r:id="rId11">
        <w:r>
          <w:rPr>
            <w:rStyle w:val="Hyperlink"/>
            <w:rFonts w:ascii="Times New Roman" w:hAnsi="Times New Roman"/>
            <w:b w:val="false"/>
            <w:i w:val="false"/>
            <w:color w:val="000000"/>
            <w:sz w:val="22"/>
          </w:rPr>
          <w:t>645—121.4</w:t>
        </w:r>
      </w:hyperlink>
      <w:r>
        <w:rPr>
          <w:rFonts w:ascii="Times New Roman" w:hAnsi="Times New Roman"/>
          <w:b w:val="false"/>
          <w:i w:val="false"/>
          <w:color w:val="000000"/>
          <w:sz w:val="22"/>
        </w:rPr>
        <w:t>(154A);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of licensure requirements that are similar to those required in Iowa;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verification of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passing score on the national examination determined by the International Hearing Society;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passing score on an examination that the board determines is equivalent to the national examination;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Completing a minimum of 32 continuing education hours within the 24 months prior to application;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645—122.2</w:t>
        </w:r>
      </w:hyperlink>
      <w:r>
        <w:rPr>
          <w:rFonts w:ascii="Times New Roman" w:hAnsi="Times New Roman"/>
          <w:b w:val="false"/>
          <w:i w:val="false"/>
          <w:color w:val="000000"/>
          <w:sz w:val="22"/>
        </w:rPr>
        <w:t xml:space="preserve">(154A) and the mandatory reporting requirements of subrule </w:t>
      </w:r>
      <w:hyperlink r:id="rId14">
        <w:r>
          <w:rPr>
            <w:rStyle w:val="Hyperlink"/>
            <w:rFonts w:ascii="Times New Roman" w:hAnsi="Times New Roman"/>
            <w:b w:val="false"/>
            <w:i w:val="false"/>
            <w:color w:val="000000"/>
            <w:sz w:val="22"/>
          </w:rPr>
          <w:t>121.9(4)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i w:val="false"/>
          <w:color w:val="000000"/>
          <w:sz w:val="22"/>
        </w:rPr>
        <w:t>121.7(3)</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645—subrule 5.7(5)</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121.7(4)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rule </w:t>
      </w:r>
      <w:hyperlink r:id="rId16">
        <w:r>
          <w:rPr>
            <w:rStyle w:val="Hyperlink"/>
            <w:rFonts w:ascii="Times New Roman" w:hAnsi="Times New Roman"/>
            <w:b w:val="false"/>
            <w:i w:val="false"/>
            <w:color w:val="000000"/>
            <w:sz w:val="22"/>
          </w:rPr>
          <w:t>645—122.2</w:t>
        </w:r>
      </w:hyperlink>
      <w:r>
        <w:rPr>
          <w:rFonts w:ascii="Times New Roman" w:hAnsi="Times New Roman"/>
          <w:b w:val="false"/>
          <w:i w:val="false"/>
          <w:color w:val="000000"/>
          <w:sz w:val="22"/>
        </w:rPr>
        <w:t>(154A).</w:t>
      </w:r>
    </w:p>
    <w:p>
      <w:pPr>
        <w:spacing w:before="0" w:after="0"/>
        <w:ind w:left="120"/>
        <w:jc w:val="both"/>
      </w:pPr>
      <w:r>
        <w:rPr>
          <w:rFonts w:ascii="Times New Roman" w:hAnsi="Times New Roman"/>
          <w:b/>
          <w:i w:val="false"/>
          <w:color w:val="000000"/>
          <w:sz w:val="22"/>
        </w:rPr>
        <w:t>121.7(5)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121.7(6)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i w:val="false"/>
          <w:color w:val="000000"/>
          <w:sz w:val="22"/>
        </w:rPr>
        <w:t>121.8(1)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i w:val="false"/>
          <w:color w:val="000000"/>
          <w:sz w:val="22"/>
        </w:rPr>
        <w:t>121.8(2)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the license(s) from the jurisdiction in which the applicant has most recently been licensed showing the licensee’s name, date of initial licensure, current licensure status and any disciplinary action taken against the license; and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4A.pdf" Type="http://schemas.openxmlformats.org/officeDocument/2006/relationships/hyperlink" Id="rId4"/>
    <Relationship TargetMode="External" Target="https://www.legis.iowa.gov/docs/iac/rule/645.121.14.pdf" Type="http://schemas.openxmlformats.org/officeDocument/2006/relationships/hyperlink" Id="rId5"/>
    <Relationship TargetMode="External" Target="https://www.legis.iowa.gov/docs/iac/rule/645.11.31.pdf" Type="http://schemas.openxmlformats.org/officeDocument/2006/relationships/hyperlink" Id="rId6"/>
    <Relationship TargetMode="External" Target="https://www.legis.iowa.gov/docs/iac/rule/645.5.7.pdf" Type="http://schemas.openxmlformats.org/officeDocument/2006/relationships/hyperlink" Id="rId7"/>
    <Relationship TargetMode="External" Target="https://www.legis.iowa.gov/docs/iac/rule/645.5.7.pdf" Type="http://schemas.openxmlformats.org/officeDocument/2006/relationships/hyperlink" Id="rId8"/>
    <Relationship TargetMode="External" Target="https://www.legis.iowa.gov/docs/iac/rule/645.121.3.pdf" Type="http://schemas.openxmlformats.org/officeDocument/2006/relationships/hyperlink" Id="rId9"/>
    <Relationship TargetMode="External" Target="https://www.legis.iowa.gov/docs/iac/rule/645.19.2.pdf" Type="http://schemas.openxmlformats.org/officeDocument/2006/relationships/hyperlink" Id="rId10"/>
    <Relationship TargetMode="External" Target="https://www.legis.iowa.gov/docs/iac/rule/645.121.4.pdf" Type="http://schemas.openxmlformats.org/officeDocument/2006/relationships/hyperlink" Id="rId11"/>
    <Relationship TargetMode="External" Target="https://www.legis.iowa.gov/docs/iac/rule/645.19.1.pdf" Type="http://schemas.openxmlformats.org/officeDocument/2006/relationships/hyperlink" Id="rId12"/>
    <Relationship TargetMode="External" Target="https://www.legis.iowa.gov/docs/iac/rule/645.122.2.pdf" Type="http://schemas.openxmlformats.org/officeDocument/2006/relationships/hyperlink" Id="rId13"/>
    <Relationship TargetMode="External" Target="https://www.legis.iowa.gov/docs/iac/rule/645.121.9.pdf" Type="http://schemas.openxmlformats.org/officeDocument/2006/relationships/hyperlink" Id="rId14"/>
    <Relationship TargetMode="External" Target="https://www.legis.iowa.gov/docs/iac/rule/645.5.7.pdf" Type="http://schemas.openxmlformats.org/officeDocument/2006/relationships/hyperlink" Id="rId15"/>
    <Relationship TargetMode="External" Target="https://www.legis.iowa.gov/docs/iac/rule/645.122.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