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HEPATITIS PROGRAMS</w:t>
      </w:r>
    </w:p>
    <w:p>
      <w:pPr>
        <w:pBdr>
          <w:top w:space="10"/>
        </w:pBdr>
        <w:spacing w:before="0" w:after="0"/>
        <w:ind w:left="120"/>
        <w:jc w:val="center"/>
      </w:pPr>
      <w:r>
        <w:rPr>
          <w:rFonts w:ascii="Times New Roman" w:hAnsi="Times New Roman"/>
          <w:b w:val="false"/>
          <w:i w:val="false"/>
          <w:color w:val="000000"/>
          <w:sz w:val="16"/>
        </w:rPr>
        <w:t>VIRAL HEPATITIS PROGRAM—VACCINATIONS AND TESTING</w:t>
      </w:r>
    </w:p>
    <w:p>
      <w:pPr>
        <w:spacing w:before="0" w:after="0"/>
        <w:ind w:left="120"/>
        <w:jc w:val="both"/>
      </w:pPr>
      <w:r>
        <w:rPr>
          <w:rFonts w:ascii="Times New Roman" w:hAnsi="Times New Roman"/>
          <w:b/>
          <w:i w:val="false"/>
          <w:color w:val="000000"/>
          <w:sz w:val="22"/>
        </w:rPr>
        <w:t>641—2.1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shall apply:</w:t>
      </w:r>
    </w:p>
    <w:p>
      <w:pPr>
        <w:spacing w:before="0" w:after="0"/>
        <w:ind w:left="120"/>
        <w:jc w:val="both"/>
      </w:pPr>
      <w:r>
        <w:rPr>
          <w:rFonts w:ascii="Times New Roman" w:hAnsi="Times New Roman"/>
          <w:b w:val="false"/>
          <w:i/>
          <w:color w:val="000000"/>
          <w:sz w:val="22"/>
        </w:rPr>
        <w:t xml:space="preserve">“Contracted agencies” </w:t>
      </w:r>
      <w:r>
        <w:rPr>
          <w:rFonts w:ascii="Times New Roman" w:hAnsi="Times New Roman"/>
          <w:b w:val="false"/>
          <w:i w:val="false"/>
          <w:color w:val="000000"/>
          <w:sz w:val="22"/>
        </w:rPr>
        <w:t>means local health departments, clinics, and community-based organizations that are funded by the department to provide HCV testing and vaccination services.</w:t>
      </w:r>
    </w:p>
    <w:p>
      <w:pPr>
        <w:spacing w:before="0" w:after="0"/>
        <w:ind w:left="120"/>
        <w:jc w:val="both"/>
      </w:pPr>
      <w:r>
        <w:rPr>
          <w:rFonts w:ascii="Times New Roman" w:hAnsi="Times New Roman"/>
          <w:b w:val="false"/>
          <w:i/>
          <w:color w:val="000000"/>
          <w:sz w:val="22"/>
        </w:rPr>
        <w:t xml:space="preserve">“HCV” </w:t>
      </w:r>
      <w:r>
        <w:rPr>
          <w:rFonts w:ascii="Times New Roman" w:hAnsi="Times New Roman"/>
          <w:b w:val="false"/>
          <w:i w:val="false"/>
          <w:color w:val="000000"/>
          <w:sz w:val="22"/>
        </w:rPr>
        <w:t>means the hepatitis C virus as defined by the Centers for Disease Control and Prevention of the United States Department of Health and Human Services.</w:t>
      </w:r>
    </w:p>
    <w:p>
      <w:pPr>
        <w:spacing w:before="0" w:after="0"/>
        <w:ind w:left="120"/>
        <w:jc w:val="both"/>
      </w:pPr>
      <w:r>
        <w:rPr>
          <w:rFonts w:ascii="Times New Roman" w:hAnsi="Times New Roman"/>
          <w:b w:val="false"/>
          <w:i/>
          <w:color w:val="000000"/>
          <w:sz w:val="22"/>
        </w:rPr>
        <w:t xml:space="preserve">“HIV” </w:t>
      </w:r>
      <w:r>
        <w:rPr>
          <w:rFonts w:ascii="Times New Roman" w:hAnsi="Times New Roman"/>
          <w:b w:val="false"/>
          <w:i w:val="false"/>
          <w:color w:val="000000"/>
          <w:sz w:val="22"/>
        </w:rPr>
        <w:t xml:space="preserve">means the same as defined in Iowa Code section </w:t>
      </w:r>
      <w:hyperlink r:id="rId4">
        <w:r>
          <w:rPr>
            <w:rStyle w:val="Hyperlink"/>
            <w:rFonts w:ascii="Times New Roman" w:hAnsi="Times New Roman"/>
            <w:b w:val="false"/>
            <w:i w:val="false"/>
            <w:color w:val="000000"/>
            <w:sz w:val="22"/>
          </w:rPr>
          <w:t>141A.1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“Viral hepatitis” </w:t>
      </w:r>
      <w:r>
        <w:rPr>
          <w:rFonts w:ascii="Times New Roman" w:hAnsi="Times New Roman"/>
          <w:b w:val="false"/>
          <w:i w:val="false"/>
          <w:color w:val="000000"/>
          <w:sz w:val="22"/>
        </w:rPr>
        <w:t>means inflammation of the liver caused by one of several viruses: hepatitis A, B, C, D, and 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8123C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641—2.2</w:t>
      </w:r>
      <w:r>
        <w:rPr>
          <w:rFonts w:ascii="Times New Roman" w:hAnsi="Times New Roman"/>
          <w:b/>
          <w:i w:val="false"/>
          <w:color w:val="000000"/>
          <w:sz w:val="22"/>
        </w:rPr>
        <w:t xml:space="preserve">(135) </w:t>
      </w:r>
      <w:r>
        <w:rPr>
          <w:rFonts w:ascii="Times New Roman" w:hAnsi="Times New Roman"/>
          <w:b/>
          <w:i w:val="false"/>
          <w:color w:val="000000"/>
          <w:sz w:val="22"/>
        </w:rPr>
        <w:t xml:space="preserve">Exposure risks for hepatitis C virus. </w:t>
      </w:r>
      <w:r>
        <w:rPr>
          <w:rFonts w:ascii="Times New Roman" w:hAnsi="Times New Roman"/>
          <w:b w:val="false"/>
          <w:i w:val="false"/>
          <w:color w:val="000000"/>
          <w:sz w:val="22"/>
        </w:rPr>
        <w:t>The following individuals are at increased risk of exposure to HCV as described by the Centers for Disease Control and Prevention of the United States Department of Health and Human Services:</w:t>
      </w:r>
    </w:p>
    <w:p>
      <w:pPr>
        <w:numPr>
          <w:ilvl w:val="0"/>
          <w:numId w:val="3"/>
        </w:numPr>
        <w:spacing w:before="0" w:after="0"/>
        <w:jc w:val="both"/>
      </w:pPr>
      <w:r>
        <w:rPr>
          <w:rFonts w:ascii="Times New Roman" w:hAnsi="Times New Roman"/>
          <w:b w:val="false"/>
          <w:i w:val="false"/>
          <w:color w:val="000000"/>
          <w:sz w:val="22"/>
        </w:rPr>
        <w:t xml:space="preserve">People living with HIV; </w:t>
      </w:r>
    </w:p>
    <w:p>
      <w:pPr>
        <w:numPr>
          <w:ilvl w:val="0"/>
          <w:numId w:val="3"/>
        </w:numPr>
        <w:spacing w:before="0" w:after="0"/>
        <w:jc w:val="both"/>
      </w:pPr>
      <w:r>
        <w:rPr>
          <w:rFonts w:ascii="Times New Roman" w:hAnsi="Times New Roman"/>
          <w:b w:val="false"/>
          <w:i w:val="false"/>
          <w:color w:val="000000"/>
          <w:sz w:val="22"/>
        </w:rPr>
        <w:t xml:space="preserve">People who have ever injected drugs; </w:t>
      </w:r>
    </w:p>
    <w:p>
      <w:pPr>
        <w:numPr>
          <w:ilvl w:val="0"/>
          <w:numId w:val="3"/>
        </w:numPr>
        <w:spacing w:before="0" w:after="0"/>
        <w:jc w:val="both"/>
      </w:pPr>
      <w:r>
        <w:rPr>
          <w:rFonts w:ascii="Times New Roman" w:hAnsi="Times New Roman"/>
          <w:b w:val="false"/>
          <w:i w:val="false"/>
          <w:color w:val="000000"/>
          <w:sz w:val="22"/>
        </w:rPr>
        <w:t>People with selected medical conditions, including those who ever received maintenance hemodialysis;</w:t>
      </w:r>
    </w:p>
    <w:p>
      <w:pPr>
        <w:numPr>
          <w:ilvl w:val="0"/>
          <w:numId w:val="3"/>
        </w:numPr>
        <w:spacing w:before="0" w:after="0"/>
        <w:jc w:val="both"/>
      </w:pPr>
      <w:r>
        <w:rPr>
          <w:rFonts w:ascii="Times New Roman" w:hAnsi="Times New Roman"/>
          <w:b w:val="false"/>
          <w:i w:val="false"/>
          <w:color w:val="000000"/>
          <w:sz w:val="22"/>
        </w:rPr>
        <w:t>Recipients of clotting factors made before 1987;</w:t>
      </w:r>
    </w:p>
    <w:p>
      <w:pPr>
        <w:numPr>
          <w:ilvl w:val="0"/>
          <w:numId w:val="3"/>
        </w:numPr>
        <w:spacing w:before="0" w:after="0"/>
        <w:jc w:val="both"/>
      </w:pPr>
      <w:r>
        <w:rPr>
          <w:rFonts w:ascii="Times New Roman" w:hAnsi="Times New Roman"/>
          <w:b w:val="false"/>
          <w:i w:val="false"/>
          <w:color w:val="000000"/>
          <w:sz w:val="22"/>
        </w:rPr>
        <w:t>Recipients of blood transfusions, blood products, and organ transplants that occurred before 1992;</w:t>
      </w:r>
    </w:p>
    <w:p>
      <w:pPr>
        <w:numPr>
          <w:ilvl w:val="0"/>
          <w:numId w:val="3"/>
        </w:numPr>
        <w:spacing w:before="0" w:after="0"/>
        <w:jc w:val="both"/>
      </w:pPr>
      <w:r>
        <w:rPr>
          <w:rFonts w:ascii="Times New Roman" w:hAnsi="Times New Roman"/>
          <w:b w:val="false"/>
          <w:i w:val="false"/>
          <w:color w:val="000000"/>
          <w:sz w:val="22"/>
        </w:rPr>
        <w:t>Health care, emergency medical, and public safety personnel after needle sticks, sharps, or mucosal exposures to HCV-positive blood; and</w:t>
      </w:r>
    </w:p>
    <w:p>
      <w:pPr>
        <w:numPr>
          <w:ilvl w:val="0"/>
          <w:numId w:val="3"/>
        </w:numPr>
        <w:spacing w:before="0" w:after="0"/>
        <w:jc w:val="both"/>
      </w:pPr>
      <w:r>
        <w:rPr>
          <w:rFonts w:ascii="Times New Roman" w:hAnsi="Times New Roman"/>
          <w:b w:val="false"/>
          <w:i w:val="false"/>
          <w:color w:val="000000"/>
          <w:sz w:val="22"/>
        </w:rPr>
        <w:t>Infants born to mothers living with HCV.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8123C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641—2.3</w:t>
      </w:r>
      <w:r>
        <w:rPr>
          <w:rFonts w:ascii="Times New Roman" w:hAnsi="Times New Roman"/>
          <w:b/>
          <w:i w:val="false"/>
          <w:color w:val="000000"/>
          <w:sz w:val="22"/>
        </w:rPr>
        <w:t xml:space="preserve">(135) </w:t>
      </w:r>
      <w:r>
        <w:rPr>
          <w:rFonts w:ascii="Times New Roman" w:hAnsi="Times New Roman"/>
          <w:b/>
          <w:i w:val="false"/>
          <w:color w:val="000000"/>
          <w:sz w:val="22"/>
        </w:rPr>
        <w:t xml:space="preserve">Information for public distribution. </w:t>
      </w:r>
      <w:r>
        <w:rPr>
          <w:rFonts w:ascii="Times New Roman" w:hAnsi="Times New Roman"/>
          <w:b w:val="false"/>
          <w:i w:val="false"/>
          <w:color w:val="000000"/>
          <w:sz w:val="22"/>
        </w:rPr>
        <w:t xml:space="preserve">The department will make available educational materials to the public on hepatitis C infection, transmission, and where to seek testing services as defined on the department’s website.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8123C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641—2.4</w:t>
      </w:r>
      <w:r>
        <w:rPr>
          <w:rFonts w:ascii="Times New Roman" w:hAnsi="Times New Roman"/>
          <w:b/>
          <w:i w:val="false"/>
          <w:color w:val="000000"/>
          <w:sz w:val="22"/>
        </w:rPr>
        <w:t xml:space="preserve">(135) </w:t>
      </w:r>
      <w:r>
        <w:rPr>
          <w:rFonts w:ascii="Times New Roman" w:hAnsi="Times New Roman"/>
          <w:b/>
          <w:i w:val="false"/>
          <w:color w:val="000000"/>
          <w:sz w:val="22"/>
        </w:rPr>
        <w:t xml:space="preserve">Hepatitis vaccination and testing program. </w:t>
      </w:r>
    </w:p>
    <w:p>
      <w:pPr>
        <w:spacing w:before="0" w:after="0"/>
        <w:ind w:left="120"/>
        <w:jc w:val="both"/>
      </w:pP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sufficient state and federal funds are available, the department will maintain a vaccination and testing program. The program shall offer HCV testing and hepatitis A and B vaccinations through local health departments, clinics, and community-based organizations to individuals at an increased risk of exposure to viral hepatitis as described in the Viral Hepatitis Prevention and Testing Services Manual dated December 2023 and available on the department’s website. Contracted agencies offering testing and vaccination services shall be required to provide integrated HIV, viral hepatitis, and sexually transmitted infection education; pretest and posttest counseling; and referral services. </w:t>
      </w:r>
    </w:p>
    <w:p>
      <w:pPr>
        <w:spacing w:before="0" w:after="0"/>
        <w:ind w:left="120"/>
        <w:jc w:val="both"/>
      </w:pP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 xml:space="preserve">Contracted agencies shall provide individuals presenting for testing or vaccination services with education explaining viral hepatitis and how to reduce the risk of acquiring it. </w:t>
      </w:r>
    </w:p>
    <w:p>
      <w:pPr>
        <w:spacing w:before="0" w:after="0"/>
        <w:ind w:left="120"/>
        <w:jc w:val="both"/>
      </w:pP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Contracted agencies shall provide individuals testing positive for viral hepatitis with information about the diagnosis and treatment options and with a referral list of health care providers to aid in seeking treatment, additional follow-up testing, and other hepatitis-related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8123C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135.19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[Filed ARC 8123C</w:t>
      </w:r>
      <w:r>
        <w:rPr>
          <w:rFonts w:ascii="Times New Roman" w:hAnsi="Times New Roman"/>
          <w:b w:val="false"/>
          <w:i w:val="false"/>
          <w:color w:val="000000"/>
          <w:sz w:val="21"/>
        </w:rPr>
        <w:t xml:space="preserve"> (Notice ARC 7373C, IAB 1/24/24)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1A.pdf" Type="http://schemas.openxmlformats.org/officeDocument/2006/relationships/hyperlink" Id="rId4"/>
    <Relationship TargetMode="External" Target="https://www.legis.iowa.gov/docs/ico/chapter/13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