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196</w:t>
      </w:r>
    </w:p>
    <w:p>
      <w:pPr>
        <w:spacing w:before="0" w:after="0"/>
        <w:ind w:left="120"/>
        <w:jc w:val="center"/>
      </w:pPr>
      <w:r>
        <w:rPr>
          <w:rFonts w:ascii="Times New Roman" w:hAnsi="Times New Roman"/>
          <w:b w:val="false"/>
          <w:i w:val="false"/>
          <w:color w:val="000000"/>
          <w:sz w:val="21"/>
        </w:rPr>
        <w:t xml:space="preserve">EMERGENCY MEDICAL SERVICES—MILITARY SERVICE, VETERAN RECIPROCITY, </w:t>
      </w:r>
      <w:r>
        <w:br/>
      </w:r>
      <w:r>
        <w:rPr>
          <w:rFonts w:ascii="Times New Roman" w:hAnsi="Times New Roman"/>
          <w:b w:val="false"/>
          <w:i w:val="false"/>
          <w:color w:val="000000"/>
          <w:sz w:val="21"/>
        </w:rPr>
        <w:t>AND SPOUSES OF ACTIVE DUTY SERVICE MEMBERS</w:t>
      </w:r>
    </w:p>
    <w:p>
      <w:pPr>
        <w:spacing w:before="0" w:after="0"/>
        <w:ind w:left="120"/>
        <w:jc w:val="both"/>
      </w:pPr>
      <w:r>
        <w:rPr>
          <w:rFonts w:ascii="Times New Roman" w:hAnsi="Times New Roman"/>
          <w:b/>
          <w:i w:val="false"/>
          <w:color w:val="000000"/>
          <w:sz w:val="22"/>
        </w:rPr>
        <w:t>641—196.1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“Licensing authority”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6">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(2021); or in the organized reserves of the United States, as provided in 10 U.S.C. Section 10101 (2006).</w:t>
      </w:r>
    </w:p>
    <w:p>
      <w:pPr>
        <w:spacing w:before="0" w:after="0"/>
        <w:ind w:left="120"/>
        <w:jc w:val="both"/>
      </w:pP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means an individual requesting credit toward licensure for military education, training, or service obtained or completed in military service.</w:t>
      </w:r>
    </w:p>
    <w:p>
      <w:pPr>
        <w:spacing w:before="0" w:after="0"/>
        <w:ind w:left="120"/>
        <w:jc w:val="both"/>
      </w:pPr>
      <w:r>
        <w:rPr>
          <w:rFonts w:ascii="Times New Roman" w:hAnsi="Times New Roman"/>
          <w:b w:val="false"/>
          <w:i/>
          <w:color w:val="000000"/>
          <w:sz w:val="22"/>
        </w:rPr>
        <w:t xml:space="preserve">“Spouse” </w:t>
      </w:r>
      <w:r>
        <w:rPr>
          <w:rFonts w:ascii="Times New Roman" w:hAnsi="Times New Roman"/>
          <w:b w:val="false"/>
          <w:i w:val="false"/>
          <w:color w:val="000000"/>
          <w:sz w:val="22"/>
        </w:rPr>
        <w:t>means a spouse of an active duty member of the military forces of the United States.</w:t>
      </w:r>
    </w:p>
    <w:p>
      <w:pPr>
        <w:spacing w:before="0" w:after="0"/>
        <w:ind w:left="120"/>
        <w:jc w:val="both"/>
      </w:pP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641—196.2</w:t>
      </w:r>
      <w:r>
        <w:rPr>
          <w:rFonts w:ascii="Times New Roman" w:hAnsi="Times New Roman"/>
          <w:b/>
          <w:i w:val="false"/>
          <w:color w:val="000000"/>
          <w:sz w:val="22"/>
        </w:rPr>
        <w:t xml:space="preserve">(272C,147D)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experience or educational requirement for licensure by submitting a military service application form to the licensing authority. No fee is required with submission of an application for military service credit.</w:t>
      </w:r>
    </w:p>
    <w:p>
      <w:pPr>
        <w:spacing w:before="0" w:after="0"/>
        <w:ind w:left="120"/>
        <w:jc w:val="both"/>
      </w:pPr>
      <w:r>
        <w:rPr>
          <w:rFonts w:ascii="Times New Roman" w:hAnsi="Times New Roman"/>
          <w:b/>
          <w:i w:val="false"/>
          <w:color w:val="000000"/>
          <w:sz w:val="22"/>
        </w:rPr>
        <w:t>196.2(1)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 shall grant credit requested in the application pursuant to the emergency medical services (EMS) personnel licensure interstate compact described in Iowa Code section </w:t>
      </w:r>
      <w:hyperlink r:id="rId8">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196.2(2)</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i w:val="false"/>
          <w:color w:val="000000"/>
          <w:sz w:val="22"/>
        </w:rPr>
        <w:t>196.2(3)</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applicant who is aggrieved by the licensing authority’s decision may appeal pursuant to the provisions of </w:t>
      </w:r>
      <w:hyperlink r:id="rId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except that no fees or costs shall be assessed against the military service applicant in connection with a contested case conducted pursuant to this subrule.</w:t>
      </w:r>
    </w:p>
    <w:p>
      <w:pPr>
        <w:spacing w:before="0" w:after="0"/>
        <w:ind w:left="120"/>
        <w:jc w:val="both"/>
      </w:pPr>
      <w:r>
        <w:rPr>
          <w:rFonts w:ascii="Times New Roman" w:hAnsi="Times New Roman"/>
          <w:b/>
          <w:i w:val="false"/>
          <w:color w:val="000000"/>
          <w:sz w:val="22"/>
        </w:rPr>
        <w:t>196.2(4)</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grant or deny the credit requested in the military service application prior to ruling on the application for licensure. The applicant shall not be required to submit any fees in connection with the licensure application unless the licensing authority grants the credit requested in the military service application. If the licensing authority does not grant the credit requested in the military service application, the applicant may withdraw the licensure application or request that the licensure application be placed in pending status for up to one year or as mutually agreed. The withdrawal of a licensure application shall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641—196.3</w:t>
      </w:r>
      <w:r>
        <w:rPr>
          <w:rFonts w:ascii="Times New Roman" w:hAnsi="Times New Roman"/>
          <w:b/>
          <w:i w:val="false"/>
          <w:color w:val="000000"/>
          <w:sz w:val="22"/>
        </w:rPr>
        <w:t xml:space="preserve">(272C,147D) </w:t>
      </w:r>
      <w:r>
        <w:rPr>
          <w:rFonts w:ascii="Times New Roman" w:hAnsi="Times New Roman"/>
          <w:b/>
          <w:i w:val="false"/>
          <w:color w:val="000000"/>
          <w:sz w:val="22"/>
        </w:rPr>
        <w:t xml:space="preserve">Veteran and active duty military spouse privilege to practice. </w:t>
      </w:r>
      <w:r>
        <w:rPr>
          <w:rFonts w:ascii="Times New Roman" w:hAnsi="Times New Roman"/>
          <w:b w:val="false"/>
          <w:i w:val="false"/>
          <w:color w:val="000000"/>
          <w:sz w:val="22"/>
        </w:rPr>
        <w:t xml:space="preserve">A veteran or spouse with an unrestricted license in another EMS personnel licensure jurisdiction may practice in Iowa pursuant to the EMS personnel licensure interstate compact described in Iowa Code section </w:t>
      </w:r>
      <w:hyperlink r:id="rId10">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1749C</w:t>
      </w:r>
      <w:r>
        <w:rPr>
          <w:rFonts w:ascii="Times New Roman" w:hAnsi="Times New Roman"/>
          <w:b w:val="false"/>
          <w:i w:val="false"/>
          <w:color w:val="000000"/>
          <w:sz w:val="21"/>
        </w:rPr>
        <w:t xml:space="preserve"> (Notice ARC 1646C,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5061C</w:t>
      </w:r>
      <w:r>
        <w:rPr>
          <w:rFonts w:ascii="Times New Roman" w:hAnsi="Times New Roman"/>
          <w:b w:val="false"/>
          <w:i w:val="false"/>
          <w:color w:val="000000"/>
          <w:sz w:val="21"/>
        </w:rPr>
        <w:t xml:space="preserve"> (Notice ARC 5000C, IAB 3/25/20)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7032C</w:t>
      </w:r>
      <w:r>
        <w:rPr>
          <w:rFonts w:ascii="Times New Roman" w:hAnsi="Times New Roman"/>
          <w:b w:val="false"/>
          <w:i w:val="false"/>
          <w:color w:val="000000"/>
          <w:sz w:val="21"/>
        </w:rPr>
        <w:t xml:space="preserve"> (Notice ARC 6942C, IAB 3/8/23)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8128C</w:t>
      </w:r>
      <w:r>
        <w:rPr>
          <w:rFonts w:ascii="Times New Roman" w:hAnsi="Times New Roman"/>
          <w:b w:val="false"/>
          <w:i w:val="false"/>
          <w:color w:val="000000"/>
          <w:sz w:val="21"/>
        </w:rPr>
        <w:t xml:space="preserve"> (Notice ARC 7337C,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D.pdf" Type="http://schemas.openxmlformats.org/officeDocument/2006/relationships/hyperlink" Id="rId4"/>
    <Relationship TargetMode="External" Target="https://www.legis.iowa.gov/docs/ico/chapter/272D.pdf" Type="http://schemas.openxmlformats.org/officeDocument/2006/relationships/hyperlink" Id="rId5"/>
    <Relationship TargetMode="External" Target="https://www.legis.iowa.gov/docs/ico/chapter/29A.pdf" Type="http://schemas.openxmlformats.org/officeDocument/2006/relationships/hyperlink" Id="rId6"/>
    <Relationship TargetMode="External" Target="https://www.legis.iowa.gov/docs/ico/chapter/35.pdf" Type="http://schemas.openxmlformats.org/officeDocument/2006/relationships/hyperlink" Id="rId7"/>
    <Relationship TargetMode="External" Target="https://www.legis.iowa.gov/docs/ico/chapter/147D.pdf" Type="http://schemas.openxmlformats.org/officeDocument/2006/relationships/hyperlink" Id="rId8"/>
    <Relationship TargetMode="External" Target="https://www.legis.iowa.gov/docs/iac/chapter/441.7.pdf" Type="http://schemas.openxmlformats.org/officeDocument/2006/relationships/hyperlink" Id="rId9"/>
    <Relationship TargetMode="External" Target="https://www.legis.iowa.gov/docs/ico/chapter/147D.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147D.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