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CONSUMABLE HEMP PRODUCTS</w:t>
      </w:r>
    </w:p>
    <w:p>
      <w:pPr>
        <w:spacing w:before="0" w:after="0"/>
        <w:ind w:left="120"/>
        <w:jc w:val="center"/>
      </w:pPr>
      <w:r>
        <w:rPr>
          <w:rFonts w:ascii="Times New Roman" w:hAnsi="Times New Roman"/>
          <w:b w:val="false"/>
          <w:i w:val="false"/>
          <w:color w:val="000000"/>
          <w:sz w:val="14"/>
        </w:rPr>
        <w:t>[Prior to 6/14/23, see Inspections and Appeals Department[481] Ch 32]</w:t>
      </w:r>
    </w:p>
    <w:p>
      <w:pPr>
        <w:spacing w:before="0" w:after="0"/>
        <w:ind w:left="120"/>
        <w:jc w:val="both"/>
      </w:pPr>
      <w:r>
        <w:rPr>
          <w:rFonts w:ascii="Times New Roman" w:hAnsi="Times New Roman"/>
          <w:b/>
          <w:i w:val="false"/>
          <w:color w:val="000000"/>
          <w:sz w:val="22"/>
        </w:rPr>
        <w:t>641—156.1</w:t>
      </w:r>
      <w:r>
        <w:rPr>
          <w:rFonts w:ascii="Times New Roman" w:hAnsi="Times New Roman"/>
          <w:b/>
          <w:i w:val="false"/>
          <w:color w:val="000000"/>
          <w:sz w:val="22"/>
        </w:rPr>
        <w:t xml:space="preserve">(204)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have the meanings indicated in this chapter. The definitions set out in Iowa Code section </w:t>
      </w:r>
      <w:hyperlink r:id="rId4">
        <w:r>
          <w:rPr>
            <w:rStyle w:val="Hyperlink"/>
            <w:rFonts w:ascii="Times New Roman" w:hAnsi="Times New Roman"/>
            <w:b w:val="false"/>
            <w:i w:val="false"/>
            <w:color w:val="000000"/>
            <w:sz w:val="22"/>
          </w:rPr>
          <w:t>204.2</w:t>
        </w:r>
      </w:hyperlink>
      <w:r>
        <w:rPr>
          <w:rFonts w:ascii="Times New Roman" w:hAnsi="Times New Roman"/>
          <w:b w:val="false"/>
          <w:i w:val="false"/>
          <w:color w:val="000000"/>
          <w:sz w:val="22"/>
        </w:rPr>
        <w:t xml:space="preserve"> are incorporated verbatim herein.</w:t>
      </w:r>
    </w:p>
    <w:p>
      <w:pPr>
        <w:spacing w:before="0" w:after="0"/>
        <w:ind w:left="120"/>
        <w:jc w:val="both"/>
      </w:pPr>
      <w:r>
        <w:rPr>
          <w:rFonts w:ascii="Times New Roman" w:hAnsi="Times New Roman"/>
          <w:b w:val="false"/>
          <w:i/>
          <w:color w:val="000000"/>
          <w:sz w:val="22"/>
        </w:rPr>
        <w:t xml:space="preserve">“Accredited laboratory” </w:t>
      </w:r>
      <w:r>
        <w:rPr>
          <w:rFonts w:ascii="Times New Roman" w:hAnsi="Times New Roman"/>
          <w:b w:val="false"/>
          <w:i w:val="false"/>
          <w:color w:val="000000"/>
          <w:sz w:val="22"/>
        </w:rPr>
        <w:t>means a laboratory accredited in accordance with the International Organization for Standardization/International Electrotechnical Commission (ISO/IEC) Standard 17025:2017 (July 17, 2024) by an International Laboratory Accreditation Cooperation (ILAC)-recognized accreditation body for the analyses performed on consumable hemp products.</w:t>
      </w:r>
    </w:p>
    <w:p>
      <w:pPr>
        <w:spacing w:before="0" w:after="0"/>
        <w:ind w:left="120"/>
        <w:jc w:val="both"/>
      </w:pPr>
      <w:r>
        <w:rPr>
          <w:rFonts w:ascii="Times New Roman" w:hAnsi="Times New Roman"/>
          <w:b w:val="false"/>
          <w:i/>
          <w:color w:val="000000"/>
          <w:sz w:val="22"/>
        </w:rPr>
        <w:t xml:space="preserve">“Adulterated” </w:t>
      </w:r>
      <w:r>
        <w:rPr>
          <w:rFonts w:ascii="Times New Roman" w:hAnsi="Times New Roman"/>
          <w:b w:val="false"/>
          <w:i w:val="false"/>
          <w:color w:val="000000"/>
          <w:sz w:val="22"/>
        </w:rPr>
        <w:t>means the same as in 21 U.S.C. Section 342(a)(4) (as amended to July 17, 2024), except that a consumable hemp product is not deemed “adulterated” pursuant to this chapter solely because it contains a hemp product not generally recognized as safe (GRAS) by the federal Food and Drug Administration.</w:t>
      </w:r>
    </w:p>
    <w:p>
      <w:pPr>
        <w:spacing w:before="0" w:after="0"/>
        <w:ind w:left="120"/>
        <w:jc w:val="both"/>
      </w:pPr>
      <w:r>
        <w:rPr>
          <w:rFonts w:ascii="Times New Roman" w:hAnsi="Times New Roman"/>
          <w:b w:val="false"/>
          <w:i/>
          <w:color w:val="000000"/>
          <w:sz w:val="22"/>
        </w:rPr>
        <w:t xml:space="preserve">“Approved hemp source” </w:t>
      </w:r>
      <w:r>
        <w:rPr>
          <w:rFonts w:ascii="Times New Roman" w:hAnsi="Times New Roman"/>
          <w:b w:val="false"/>
          <w:i w:val="false"/>
          <w:color w:val="000000"/>
          <w:sz w:val="22"/>
        </w:rPr>
        <w:t>means a manufacturer of a consumable hemp product that is engaged in the wholesale or retail sale of the product and that is:</w:t>
      </w:r>
    </w:p>
    <w:p>
      <w:pPr>
        <w:numPr>
          <w:ilvl w:val="0"/>
          <w:numId w:val="3"/>
        </w:numPr>
        <w:spacing w:before="0" w:after="0"/>
        <w:jc w:val="both"/>
      </w:pPr>
      <w:r>
        <w:rPr>
          <w:rFonts w:ascii="Times New Roman" w:hAnsi="Times New Roman"/>
          <w:b w:val="false"/>
          <w:i w:val="false"/>
          <w:color w:val="000000"/>
          <w:sz w:val="22"/>
        </w:rPr>
        <w:t xml:space="preserve">Located in this state and manufactures the consumable hemp product in compliance with Iowa Code chapter </w:t>
      </w:r>
      <w:hyperlink r:id="rId5">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these rules; or </w:t>
      </w:r>
    </w:p>
    <w:p>
      <w:pPr>
        <w:numPr>
          <w:ilvl w:val="0"/>
          <w:numId w:val="3"/>
        </w:numPr>
        <w:spacing w:before="0" w:after="0"/>
        <w:jc w:val="both"/>
      </w:pPr>
      <w:r>
        <w:rPr>
          <w:rFonts w:ascii="Times New Roman" w:hAnsi="Times New Roman"/>
          <w:b w:val="false"/>
          <w:i w:val="false"/>
          <w:color w:val="000000"/>
          <w:sz w:val="22"/>
        </w:rPr>
        <w:t>Located in a state that has a state hemp plan approved by the United States Department of Agriculture under 7 U.S.C. Chapter 38, Subchapter VII (as amended to July 17, 2024).</w:t>
      </w:r>
    </w:p>
    <w:p>
      <w:pPr>
        <w:spacing w:before="0" w:after="0"/>
        <w:ind w:left="120"/>
        <w:jc w:val="both"/>
      </w:pPr>
      <w:r>
        <w:rPr>
          <w:rFonts w:ascii="Times New Roman" w:hAnsi="Times New Roman"/>
          <w:b w:val="false"/>
          <w:i/>
          <w:color w:val="000000"/>
          <w:sz w:val="22"/>
        </w:rPr>
        <w:t xml:space="preserve">“Batch” </w:t>
      </w:r>
      <w:r>
        <w:rPr>
          <w:rFonts w:ascii="Times New Roman" w:hAnsi="Times New Roman"/>
          <w:b w:val="false"/>
          <w:i w:val="false"/>
          <w:color w:val="000000"/>
          <w:sz w:val="22"/>
        </w:rPr>
        <w:t>means a specific quantity of a consumable hemp product that contains a lot number; is uniform and intended to meet specifications for identity, strength, purity, and composition; and is manufactured, packaged, and labeled during a specified time period according to a single manufacturing, packaging, and labeling record.</w:t>
      </w:r>
    </w:p>
    <w:p>
      <w:pPr>
        <w:spacing w:before="0" w:after="0"/>
        <w:ind w:left="120"/>
        <w:jc w:val="both"/>
      </w:pPr>
      <w:r>
        <w:rPr>
          <w:rFonts w:ascii="Times New Roman" w:hAnsi="Times New Roman"/>
          <w:b w:val="false"/>
          <w:i/>
          <w:color w:val="000000"/>
          <w:sz w:val="22"/>
        </w:rPr>
        <w:t xml:space="preserve">“Cannabidiol”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“CBD” </w:t>
      </w:r>
      <w:r>
        <w:rPr>
          <w:rFonts w:ascii="Times New Roman" w:hAnsi="Times New Roman"/>
          <w:b w:val="false"/>
          <w:i w:val="false"/>
          <w:color w:val="000000"/>
          <w:sz w:val="22"/>
        </w:rPr>
        <w:t>means the specific chemical compound with the Chemical Abstracts Service number 13956-29-1.</w:t>
      </w:r>
    </w:p>
    <w:p>
      <w:pPr>
        <w:spacing w:before="0" w:after="0"/>
        <w:ind w:left="120"/>
        <w:jc w:val="both"/>
      </w:pPr>
      <w:r>
        <w:rPr>
          <w:rFonts w:ascii="Times New Roman" w:hAnsi="Times New Roman"/>
          <w:b w:val="false"/>
          <w:i/>
          <w:color w:val="000000"/>
          <w:sz w:val="22"/>
        </w:rPr>
        <w:t xml:space="preserve">“Certificate of analysis”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“COA” </w:t>
      </w:r>
      <w:r>
        <w:rPr>
          <w:rFonts w:ascii="Times New Roman" w:hAnsi="Times New Roman"/>
          <w:b w:val="false"/>
          <w:i w:val="false"/>
          <w:color w:val="000000"/>
          <w:sz w:val="22"/>
        </w:rPr>
        <w:t>means an official document released by an accredited laboratory following an analysis of a consumable hemp product. The certificate of analysis contains all of the concentrations of cannabinoids, pesticides, residual solvents, metals, harmful pathogens, toxicants, and synthetic or semisynthetic cannabinoids, including data on levels of total delta-9 tetrahydrocannabinol content concentration and whether a sample passed or failed any limits related to these analyses.</w:t>
      </w:r>
    </w:p>
    <w:p>
      <w:pPr>
        <w:spacing w:before="0" w:after="0"/>
        <w:ind w:left="120"/>
        <w:jc w:val="both"/>
      </w:pPr>
      <w:r>
        <w:rPr>
          <w:rFonts w:ascii="Times New Roman" w:hAnsi="Times New Roman"/>
          <w:b w:val="false"/>
          <w:i/>
          <w:color w:val="000000"/>
          <w:sz w:val="22"/>
        </w:rPr>
        <w:t xml:space="preserve">“Certificate of free sale” </w:t>
      </w:r>
      <w:r>
        <w:rPr>
          <w:rFonts w:ascii="Times New Roman" w:hAnsi="Times New Roman"/>
          <w:b w:val="false"/>
          <w:i w:val="false"/>
          <w:color w:val="000000"/>
          <w:sz w:val="22"/>
        </w:rPr>
        <w:t>means a government certification that products such as food, drugs, medicine, or cosmetics are approved for unrestricted sale in the jurisdiction in which they originate.</w:t>
      </w:r>
    </w:p>
    <w:p>
      <w:pPr>
        <w:spacing w:before="0" w:after="0"/>
        <w:ind w:left="120"/>
        <w:jc w:val="both"/>
      </w:pPr>
      <w:r>
        <w:rPr>
          <w:rFonts w:ascii="Times New Roman" w:hAnsi="Times New Roman"/>
          <w:b w:val="false"/>
          <w:i/>
          <w:color w:val="000000"/>
          <w:sz w:val="22"/>
        </w:rPr>
        <w:t xml:space="preserve">“Consumable hemp establishment” </w:t>
      </w:r>
      <w:r>
        <w:rPr>
          <w:rFonts w:ascii="Times New Roman" w:hAnsi="Times New Roman"/>
          <w:b w:val="false"/>
          <w:i w:val="false"/>
          <w:color w:val="000000"/>
          <w:sz w:val="22"/>
        </w:rPr>
        <w:t>means an individual or entity engaged in manufacturing, processing, packing, holding, preparing, distributing, or selling a consumable hemp product in Iowa or to purchasers located in Iowa. A consumable hemp establishment does not include an individual or entity manufacturing, processing, packing, holding, preparing, distributing, or selling a consumable hemp product containing only hemp seed or hemp seed-derived food ingredients GRAS under the conditions of use by the federal Food and Drug Administration.</w:t>
      </w:r>
    </w:p>
    <w:p>
      <w:pPr>
        <w:spacing w:before="0" w:after="0"/>
        <w:ind w:left="120"/>
        <w:jc w:val="both"/>
      </w:pPr>
      <w:r>
        <w:rPr>
          <w:rFonts w:ascii="Times New Roman" w:hAnsi="Times New Roman"/>
          <w:b w:val="false"/>
          <w:i/>
          <w:color w:val="000000"/>
          <w:sz w:val="22"/>
        </w:rPr>
        <w:t xml:space="preserve">“Consumable hemp manufacturer” </w:t>
      </w:r>
      <w:r>
        <w:rPr>
          <w:rFonts w:ascii="Times New Roman" w:hAnsi="Times New Roman"/>
          <w:b w:val="false"/>
          <w:i w:val="false"/>
          <w:color w:val="000000"/>
          <w:sz w:val="22"/>
        </w:rPr>
        <w:t xml:space="preserve">means a consumable hemp establishment engaged in manufacturing, processing, packing, holding, preparing, distributing, or selling a consumable hemp product on a wholesale basis. A consumable hemp manufacturer includes individuals and entities outside of Iowa that distribute consumable hemp products in Iowa. A consumable hemp manufacturer does not include individuals or entities exclusively engaged in the harvesting, storage, or distribution of raw hemp. </w:t>
      </w:r>
    </w:p>
    <w:p>
      <w:pPr>
        <w:spacing w:before="0" w:after="0"/>
        <w:ind w:left="120"/>
        <w:jc w:val="both"/>
      </w:pPr>
      <w:r>
        <w:rPr>
          <w:rFonts w:ascii="Times New Roman" w:hAnsi="Times New Roman"/>
          <w:b w:val="false"/>
          <w:i/>
          <w:color w:val="000000"/>
          <w:sz w:val="22"/>
        </w:rPr>
        <w:t xml:space="preserve">“Consumable hemp retailer” </w:t>
      </w:r>
      <w:r>
        <w:rPr>
          <w:rFonts w:ascii="Times New Roman" w:hAnsi="Times New Roman"/>
          <w:b w:val="false"/>
          <w:i w:val="false"/>
          <w:color w:val="000000"/>
          <w:sz w:val="22"/>
        </w:rPr>
        <w:t>means a consumable hemp establishment selling consumable hemp product to consumers on a retail basis. A consumable hemp retailer includes an establishment selling consumable hemp products online.</w:t>
      </w:r>
    </w:p>
    <w:p>
      <w:pPr>
        <w:spacing w:before="0" w:after="0"/>
        <w:ind w:left="120"/>
        <w:jc w:val="both"/>
      </w:pPr>
      <w:r>
        <w:rPr>
          <w:rFonts w:ascii="Times New Roman" w:hAnsi="Times New Roman"/>
          <w:b w:val="false"/>
          <w:i/>
          <w:color w:val="000000"/>
          <w:sz w:val="22"/>
        </w:rPr>
        <w:t xml:space="preserve">“Container” </w:t>
      </w:r>
      <w:r>
        <w:rPr>
          <w:rFonts w:ascii="Times New Roman" w:hAnsi="Times New Roman"/>
          <w:b w:val="false"/>
          <w:i w:val="false"/>
          <w:color w:val="000000"/>
          <w:sz w:val="22"/>
        </w:rPr>
        <w:t>means the object that holds one or more servings of a consumable hemp product.</w:t>
      </w:r>
    </w:p>
    <w:p>
      <w:pPr>
        <w:spacing w:before="0" w:after="0"/>
        <w:ind w:left="120"/>
        <w:jc w:val="both"/>
      </w:pPr>
      <w:r>
        <w:rPr>
          <w:rFonts w:ascii="Times New Roman" w:hAnsi="Times New Roman"/>
          <w:b w:val="false"/>
          <w:i/>
          <w:color w:val="000000"/>
          <w:sz w:val="22"/>
        </w:rPr>
        <w:t xml:space="preserve">“Delta-9 tetrahydrocannabinol”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“THC” </w:t>
      </w:r>
      <w:r>
        <w:rPr>
          <w:rFonts w:ascii="Times New Roman" w:hAnsi="Times New Roman"/>
          <w:b w:val="false"/>
          <w:i w:val="false"/>
          <w:color w:val="000000"/>
          <w:sz w:val="22"/>
        </w:rPr>
        <w:t>means the specific chemical compound with the Chemical Abstracts Service number 1972-08-3.</w:t>
      </w:r>
    </w:p>
    <w:p>
      <w:pPr>
        <w:spacing w:before="0" w:after="0"/>
        <w:ind w:left="120"/>
        <w:jc w:val="both"/>
      </w:pPr>
      <w:r>
        <w:rPr>
          <w:rFonts w:ascii="Times New Roman" w:hAnsi="Times New Roman"/>
          <w:b w:val="false"/>
          <w:i/>
          <w:color w:val="000000"/>
          <w:sz w:val="22"/>
        </w:rPr>
        <w:t xml:space="preserve">“Expiration date” </w:t>
      </w:r>
      <w:r>
        <w:rPr>
          <w:rFonts w:ascii="Times New Roman" w:hAnsi="Times New Roman"/>
          <w:b w:val="false"/>
          <w:i w:val="false"/>
          <w:color w:val="000000"/>
          <w:sz w:val="22"/>
        </w:rPr>
        <w:t>means the month and year as determined by the manufacturer, packer, or distributor on the basis of tests showing that the product, until that date, under the conditions of handling, storage, preparation, and use per label directions, will, when consumed, contain not less than the quantity of each ingredient as set forth on its label.</w:t>
      </w:r>
    </w:p>
    <w:p>
      <w:pPr>
        <w:spacing w:before="0" w:after="0"/>
        <w:ind w:left="120"/>
        <w:jc w:val="both"/>
      </w:pPr>
      <w:r>
        <w:rPr>
          <w:rFonts w:ascii="Times New Roman" w:hAnsi="Times New Roman"/>
          <w:b w:val="false"/>
          <w:i/>
          <w:color w:val="000000"/>
          <w:sz w:val="22"/>
        </w:rPr>
        <w:t xml:space="preserve">“Food”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137F.1</w:t>
        </w:r>
      </w:hyperlink>
      <w:r>
        <w:rPr>
          <w:rFonts w:ascii="Times New Roman" w:hAnsi="Times New Roman"/>
          <w:b w:val="false"/>
          <w:i w:val="false"/>
          <w:color w:val="000000"/>
          <w:sz w:val="22"/>
        </w:rPr>
        <w:t>. Food includes human dietary supplements and alcoholic beverages.</w:t>
      </w:r>
    </w:p>
    <w:p>
      <w:pPr>
        <w:spacing w:before="0" w:after="0"/>
        <w:ind w:left="120"/>
        <w:jc w:val="both"/>
      </w:pPr>
      <w:r>
        <w:rPr>
          <w:rFonts w:ascii="Times New Roman" w:hAnsi="Times New Roman"/>
          <w:b w:val="false"/>
          <w:i/>
          <w:color w:val="000000"/>
          <w:sz w:val="22"/>
        </w:rPr>
        <w:t xml:space="preserve">“Harvesting” </w:t>
      </w:r>
      <w:r>
        <w:rPr>
          <w:rFonts w:ascii="Times New Roman" w:hAnsi="Times New Roman"/>
          <w:b w:val="false"/>
          <w:i w:val="false"/>
          <w:color w:val="000000"/>
          <w:sz w:val="22"/>
        </w:rPr>
        <w:t>applies to farms and farm mixed-type facilities and means activities that are traditionally performed on farms for the purpose of removing raw agricultural commodities from the place they were grown or raised and preparing them for use as food. Harvesting is limited to activities performed on raw agricultural commodities, or on processed foods created by drying/dehydrating a raw agricultural commodity without additional manufacturing/processing, on a farm. Harvesting does not include activities that transform a raw agricultural commodity into a processed food as defined in Section 201(gg) of the federal Food, Drug, and Cosmetic Act (as amended to July 17, 2024).</w:t>
      </w:r>
    </w:p>
    <w:p>
      <w:pPr>
        <w:spacing w:before="0" w:after="0"/>
        <w:ind w:left="120"/>
        <w:jc w:val="both"/>
      </w:pPr>
      <w:r>
        <w:rPr>
          <w:rFonts w:ascii="Times New Roman" w:hAnsi="Times New Roman"/>
          <w:b w:val="false"/>
          <w:i/>
          <w:color w:val="000000"/>
          <w:sz w:val="22"/>
        </w:rPr>
        <w:t xml:space="preserve">“Jurisdiction of origin” </w:t>
      </w:r>
      <w:r>
        <w:rPr>
          <w:rFonts w:ascii="Times New Roman" w:hAnsi="Times New Roman"/>
          <w:b w:val="false"/>
          <w:i w:val="false"/>
          <w:color w:val="000000"/>
          <w:sz w:val="22"/>
        </w:rPr>
        <w:t>means the federal, state, or local regulatory jurisdiction that has the authority to conduct inspections of the facility in which a consumable hemp product was most recently subject to a manufacturing/processing activity.</w:t>
      </w:r>
    </w:p>
    <w:p>
      <w:pPr>
        <w:spacing w:before="0" w:after="0"/>
        <w:ind w:left="120"/>
        <w:jc w:val="both"/>
      </w:pPr>
      <w:r>
        <w:rPr>
          <w:rFonts w:ascii="Times New Roman" w:hAnsi="Times New Roman"/>
          <w:b w:val="false"/>
          <w:i/>
          <w:color w:val="000000"/>
          <w:sz w:val="22"/>
        </w:rPr>
        <w:t xml:space="preserve">“Lot number” </w:t>
      </w:r>
      <w:r>
        <w:rPr>
          <w:rFonts w:ascii="Times New Roman" w:hAnsi="Times New Roman"/>
          <w:b w:val="false"/>
          <w:i w:val="false"/>
          <w:color w:val="000000"/>
          <w:sz w:val="22"/>
        </w:rPr>
        <w:t xml:space="preserve">means a specific quantity of raw hemp or processed hemp product that is uniform and intended to meet specifications for identity, strength, purity, and composition that contains the manufacturer’s, processor’s, or distributor’s number and a sequence to allow for inventory, traceability, and identification of the plant batches used in the production of consumable hemp products. </w:t>
      </w:r>
    </w:p>
    <w:p>
      <w:pPr>
        <w:spacing w:before="0" w:after="0"/>
        <w:ind w:left="120"/>
        <w:jc w:val="both"/>
      </w:pPr>
      <w:r>
        <w:rPr>
          <w:rFonts w:ascii="Times New Roman" w:hAnsi="Times New Roman"/>
          <w:b w:val="false"/>
          <w:i/>
          <w:color w:val="000000"/>
          <w:sz w:val="22"/>
        </w:rPr>
        <w:t xml:space="preserve">“Manufacturing/processing” </w:t>
      </w:r>
      <w:r>
        <w:rPr>
          <w:rFonts w:ascii="Times New Roman" w:hAnsi="Times New Roman"/>
          <w:b w:val="false"/>
          <w:i w:val="false"/>
          <w:color w:val="000000"/>
          <w:sz w:val="22"/>
        </w:rPr>
        <w:t>means making food from one or more ingredients or synthesizing, preparing, treating, modifying or manipulating food, including food crops or ingredients. For farms and farm mixed-type facilities, manufacturing/processing does not include activities that are part of harvesting, packing, or holding.</w:t>
      </w:r>
    </w:p>
    <w:p>
      <w:pPr>
        <w:spacing w:before="0" w:after="0"/>
        <w:ind w:left="120"/>
        <w:jc w:val="both"/>
      </w:pPr>
      <w:r>
        <w:rPr>
          <w:rFonts w:ascii="Times New Roman" w:hAnsi="Times New Roman"/>
          <w:b w:val="false"/>
          <w:i/>
          <w:color w:val="000000"/>
          <w:sz w:val="22"/>
        </w:rPr>
        <w:t xml:space="preserve">“Misbranded” </w:t>
      </w:r>
      <w:r>
        <w:rPr>
          <w:rFonts w:ascii="Times New Roman" w:hAnsi="Times New Roman"/>
          <w:b w:val="false"/>
          <w:i w:val="false"/>
          <w:color w:val="000000"/>
          <w:sz w:val="22"/>
        </w:rPr>
        <w:t>means a food that violates 21 U.S.C. Section 343 (as amended to July 17, 2024).</w:t>
      </w:r>
    </w:p>
    <w:p>
      <w:pPr>
        <w:spacing w:before="0" w:after="0"/>
        <w:ind w:left="120"/>
        <w:jc w:val="both"/>
      </w:pPr>
      <w:r>
        <w:rPr>
          <w:rFonts w:ascii="Times New Roman" w:hAnsi="Times New Roman"/>
          <w:b w:val="false"/>
          <w:i/>
          <w:color w:val="000000"/>
          <w:sz w:val="22"/>
        </w:rPr>
        <w:t xml:space="preserve">“QR code” </w:t>
      </w:r>
      <w:r>
        <w:rPr>
          <w:rFonts w:ascii="Times New Roman" w:hAnsi="Times New Roman"/>
          <w:b w:val="false"/>
          <w:i w:val="false"/>
          <w:color w:val="000000"/>
          <w:sz w:val="22"/>
        </w:rPr>
        <w:t>means a quick response machine-readable code that can be read by a camera, consisting of an array of black and white squares used for storing information or directing or leading a user to product information regarding manufacturer data and accredited laboratory certificates of analysis.</w:t>
      </w:r>
    </w:p>
    <w:p>
      <w:pPr>
        <w:spacing w:before="0" w:after="0"/>
        <w:ind w:left="120"/>
        <w:jc w:val="both"/>
      </w:pPr>
      <w:r>
        <w:rPr>
          <w:rFonts w:ascii="Times New Roman" w:hAnsi="Times New Roman"/>
          <w:b w:val="false"/>
          <w:i/>
          <w:color w:val="000000"/>
          <w:sz w:val="22"/>
        </w:rPr>
        <w:t xml:space="preserve">“Raw agricultural commodity” </w:t>
      </w:r>
      <w:r>
        <w:rPr>
          <w:rFonts w:ascii="Times New Roman" w:hAnsi="Times New Roman"/>
          <w:b w:val="false"/>
          <w:i w:val="false"/>
          <w:color w:val="000000"/>
          <w:sz w:val="22"/>
        </w:rPr>
        <w:t>means any food in its raw or natural state, including all fruits that are washed, colored, or otherwise treated in their unpeeled natural form prior to marketing.</w:t>
      </w:r>
    </w:p>
    <w:p>
      <w:pPr>
        <w:spacing w:before="0" w:after="0"/>
        <w:ind w:left="120"/>
        <w:jc w:val="both"/>
      </w:pPr>
      <w:r>
        <w:rPr>
          <w:rFonts w:ascii="Times New Roman" w:hAnsi="Times New Roman"/>
          <w:b w:val="false"/>
          <w:i/>
          <w:color w:val="000000"/>
          <w:sz w:val="22"/>
        </w:rPr>
        <w:t xml:space="preserve">“Raw hemp” </w:t>
      </w:r>
      <w:r>
        <w:rPr>
          <w:rFonts w:ascii="Times New Roman" w:hAnsi="Times New Roman"/>
          <w:b w:val="false"/>
          <w:i w:val="false"/>
          <w:color w:val="000000"/>
          <w:sz w:val="22"/>
        </w:rPr>
        <w:t>means an unprocessed hemp plant, or any part of the hemp plant, in its raw or natural state. Raw hemp is a raw agricultural commodity.</w:t>
      </w:r>
    </w:p>
    <w:p>
      <w:pPr>
        <w:spacing w:before="0" w:after="0"/>
        <w:ind w:left="120"/>
        <w:jc w:val="both"/>
      </w:pPr>
      <w:r>
        <w:rPr>
          <w:rFonts w:ascii="Times New Roman" w:hAnsi="Times New Roman"/>
          <w:b w:val="false"/>
          <w:i/>
          <w:color w:val="000000"/>
          <w:sz w:val="22"/>
        </w:rPr>
        <w:t xml:space="preserve">“Serving” </w:t>
      </w:r>
      <w:r>
        <w:rPr>
          <w:rFonts w:ascii="Times New Roman" w:hAnsi="Times New Roman"/>
          <w:b w:val="false"/>
          <w:i w:val="false"/>
          <w:color w:val="000000"/>
          <w:sz w:val="22"/>
        </w:rPr>
        <w:t>means the size or portion customarily consumed per eating occasion, expressed in a common household measure as established in table 2 of 21 CFR 101.12 (as amended to July 17, 2024). If a solid consumable hemp product is packaged in a manner that includes more than a single serving, each serving must be clearly identified and severable from the other servings in the container. If a liquid consumable hemp product is packaged in a manner that includes more than a single serving, the number of servings must be conspicuously labeled. Liquid consumable hemp products shall be packaged in a container that holds a minimum of 12 fluid ounces.</w:t>
      </w:r>
    </w:p>
    <w:p>
      <w:pPr>
        <w:spacing w:before="0" w:after="0"/>
        <w:ind w:left="120"/>
        <w:jc w:val="both"/>
      </w:pPr>
      <w:r>
        <w:rPr>
          <w:rFonts w:ascii="Times New Roman" w:hAnsi="Times New Roman"/>
          <w:b w:val="false"/>
          <w:i/>
          <w:color w:val="000000"/>
          <w:sz w:val="22"/>
        </w:rPr>
        <w:t xml:space="preserve">“Synthetic consumable hemp products” </w:t>
      </w:r>
      <w:r>
        <w:rPr>
          <w:rFonts w:ascii="Times New Roman" w:hAnsi="Times New Roman"/>
          <w:b w:val="false"/>
          <w:i w:val="false"/>
          <w:color w:val="000000"/>
          <w:sz w:val="22"/>
        </w:rPr>
        <w:t>means products containing synthetic or semisynthetic cannabinoids. Synthetic and semisynthetic cannabinoids refer to a class of cannabinoids that are created through a chemical process and are structurally similar to naturally occurring cannabinoids or cannabinoids that may occur in very small amounts naturally. Examples of synthetic consumable hemp products include but may not be limited to delta-8 tetrahydrocannabinol, delta-10 tetrahydrocannabinol, hexahydrocannabinol (HHC), tetrahydrocannabiphorol (THC-P), and tetrahydrocannabinol-O-acetate (THC-O).</w:t>
      </w:r>
    </w:p>
    <w:p>
      <w:pPr>
        <w:spacing w:before="0" w:after="0"/>
        <w:ind w:left="120"/>
        <w:jc w:val="both"/>
      </w:pPr>
      <w:r>
        <w:rPr>
          <w:rFonts w:ascii="Times New Roman" w:hAnsi="Times New Roman"/>
          <w:b w:val="false"/>
          <w:i/>
          <w:color w:val="000000"/>
          <w:sz w:val="22"/>
        </w:rPr>
        <w:t xml:space="preserve">“Tetrahydrocannabinolic acid”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“THCA” </w:t>
      </w:r>
      <w:r>
        <w:rPr>
          <w:rFonts w:ascii="Times New Roman" w:hAnsi="Times New Roman"/>
          <w:b w:val="false"/>
          <w:i w:val="false"/>
          <w:color w:val="000000"/>
          <w:sz w:val="22"/>
        </w:rPr>
        <w:t>means the specific chemical compound with the Chemical Abstracts Service number 23978-85-0.</w:t>
      </w:r>
    </w:p>
    <w:p>
      <w:pPr>
        <w:spacing w:before="0" w:after="0"/>
        <w:ind w:left="120"/>
        <w:jc w:val="both"/>
      </w:pPr>
      <w:r>
        <w:rPr>
          <w:rFonts w:ascii="Times New Roman" w:hAnsi="Times New Roman"/>
          <w:b w:val="false"/>
          <w:i/>
          <w:color w:val="000000"/>
          <w:sz w:val="22"/>
        </w:rPr>
        <w:t xml:space="preserve">“Total delta-9 tetrahydrocannabinol”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“total THC” </w:t>
      </w:r>
      <w:r>
        <w:rPr>
          <w:rFonts w:ascii="Times New Roman" w:hAnsi="Times New Roman"/>
          <w:b w:val="false"/>
          <w:i w:val="false"/>
          <w:color w:val="000000"/>
          <w:sz w:val="22"/>
        </w:rPr>
        <w:t>means 87.7 percent of the amount of tetrahydrocannabinolic acid plus the amount of delta-9 tetrahydrocannabinol.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641—156.2</w:t>
      </w:r>
      <w:r>
        <w:rPr>
          <w:rFonts w:ascii="Times New Roman" w:hAnsi="Times New Roman"/>
          <w:b/>
          <w:i w:val="false"/>
          <w:color w:val="000000"/>
          <w:sz w:val="22"/>
        </w:rPr>
        <w:t xml:space="preserve">(204) </w:t>
      </w:r>
      <w:r>
        <w:rPr>
          <w:rFonts w:ascii="Times New Roman" w:hAnsi="Times New Roman"/>
          <w:b/>
          <w:i w:val="false"/>
          <w:color w:val="000000"/>
          <w:sz w:val="22"/>
        </w:rPr>
        <w:t xml:space="preserve">Registration and posting. </w:t>
      </w:r>
      <w:r>
        <w:rPr>
          <w:rFonts w:ascii="Times New Roman" w:hAnsi="Times New Roman"/>
          <w:b w:val="false"/>
          <w:i w:val="false"/>
          <w:color w:val="000000"/>
          <w:sz w:val="22"/>
        </w:rPr>
        <w:t>A consumable hemp establishment shall not engage in manufacturing, processing, packing, holding, preparing, distributing, or selling a consumable hemp product in Iowa or to purchasers located in Iowa until it has submitted a consumable hemp registration that is approved by the department.</w:t>
      </w:r>
    </w:p>
    <w:p>
      <w:pPr>
        <w:spacing w:before="0" w:after="0"/>
        <w:ind w:left="120"/>
        <w:jc w:val="both"/>
      </w:pPr>
      <w:r>
        <w:rPr>
          <w:rFonts w:ascii="Times New Roman" w:hAnsi="Times New Roman"/>
          <w:b/>
          <w:i w:val="false"/>
          <w:color w:val="000000"/>
          <w:sz w:val="22"/>
        </w:rPr>
        <w:t>156.2(1)</w:t>
      </w:r>
      <w:r>
        <w:rPr>
          <w:rFonts w:ascii="Times New Roman" w:hAnsi="Times New Roman"/>
          <w:b w:val="false"/>
          <w:i w:val="false"/>
          <w:color w:val="000000"/>
          <w:sz w:val="22"/>
        </w:rPr>
        <w:t> </w:t>
      </w:r>
      <w:r>
        <w:rPr>
          <w:rFonts w:ascii="Times New Roman" w:hAnsi="Times New Roman"/>
          <w:b w:val="false"/>
          <w:i/>
          <w:color w:val="000000"/>
          <w:sz w:val="22"/>
        </w:rPr>
        <w:t xml:space="preserve">Consumable hemp manufactures/distributors. </w:t>
      </w:r>
      <w:r>
        <w:rPr>
          <w:rFonts w:ascii="Times New Roman" w:hAnsi="Times New Roman"/>
          <w:b w:val="false"/>
          <w:i w:val="false"/>
          <w:color w:val="000000"/>
          <w:sz w:val="22"/>
        </w:rPr>
        <w:t>At least 30 days prior to manufacturing, processing, packing, holding, preparing, distributing, or selling any consumable hemp product in Iowa or to purchasers located in Iowa, a consumable hemp manufacturer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Complete the online registration form prescribed by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Remit the registration fee set by the department in accordance with Iowa Code section </w:t>
      </w:r>
      <w:hyperlink r:id="rId7">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Submit a complete list of all consumable hemp products the consumable hemp manufacturer intends to manufacture, process, pack, hold, prepare, distribute, or sell, along with documentation of the jurisdiction of origin for each consumable hemp product.</w:t>
      </w:r>
    </w:p>
    <w:p>
      <w:pPr>
        <w:spacing w:before="0" w:after="0"/>
        <w:ind w:left="120"/>
        <w:jc w:val="both"/>
      </w:pPr>
      <w:r>
        <w:rPr>
          <w:rFonts w:ascii="Times New Roman" w:hAnsi="Times New Roman"/>
          <w:b/>
          <w:i w:val="false"/>
          <w:color w:val="000000"/>
          <w:sz w:val="22"/>
        </w:rPr>
        <w:t>156.2(2)</w:t>
      </w:r>
      <w:r>
        <w:rPr>
          <w:rFonts w:ascii="Times New Roman" w:hAnsi="Times New Roman"/>
          <w:b w:val="false"/>
          <w:i w:val="false"/>
          <w:color w:val="000000"/>
          <w:sz w:val="22"/>
        </w:rPr>
        <w:t> </w:t>
      </w:r>
      <w:r>
        <w:rPr>
          <w:rFonts w:ascii="Times New Roman" w:hAnsi="Times New Roman"/>
          <w:b w:val="false"/>
          <w:i/>
          <w:color w:val="000000"/>
          <w:sz w:val="22"/>
        </w:rPr>
        <w:t xml:space="preserve">Consumable hemp retailers. </w:t>
      </w:r>
      <w:r>
        <w:rPr>
          <w:rFonts w:ascii="Times New Roman" w:hAnsi="Times New Roman"/>
          <w:b w:val="false"/>
          <w:i w:val="false"/>
          <w:color w:val="000000"/>
          <w:sz w:val="22"/>
        </w:rPr>
        <w:t>At least 30 days prior to selling any consumable hemp product in Iowa or to purchasers located in Iowa, a consumable hemp retailer shall register with the department by doing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Complete the online registration form prescribed by the department;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Remit the registration fee set by the department in accordance with Iowa Code section </w:t>
      </w:r>
      <w:hyperlink r:id="rId8">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Submit a complete list of all consumable hemp products the consumable hemp retailer intends to sell, along with documentation of the jurisdiction of origin for each consumable hemp product.</w:t>
      </w:r>
    </w:p>
    <w:p>
      <w:pPr>
        <w:spacing w:before="0" w:after="0"/>
        <w:ind w:left="120"/>
        <w:jc w:val="both"/>
      </w:pPr>
      <w:r>
        <w:rPr>
          <w:rFonts w:ascii="Times New Roman" w:hAnsi="Times New Roman"/>
          <w:b/>
          <w:i w:val="false"/>
          <w:color w:val="000000"/>
          <w:sz w:val="22"/>
        </w:rPr>
        <w:t>156.2(3)</w:t>
      </w:r>
      <w:r>
        <w:rPr>
          <w:rFonts w:ascii="Times New Roman" w:hAnsi="Times New Roman"/>
          <w:b w:val="false"/>
          <w:i w:val="false"/>
          <w:color w:val="000000"/>
          <w:sz w:val="22"/>
        </w:rPr>
        <w:t> </w:t>
      </w:r>
      <w:r>
        <w:rPr>
          <w:rFonts w:ascii="Times New Roman" w:hAnsi="Times New Roman"/>
          <w:b w:val="false"/>
          <w:i/>
          <w:color w:val="000000"/>
          <w:sz w:val="22"/>
        </w:rPr>
        <w:t xml:space="preserve">Combined consumable hemp manufacturers and retailers. </w:t>
      </w:r>
      <w:r>
        <w:rPr>
          <w:rFonts w:ascii="Times New Roman" w:hAnsi="Times New Roman"/>
          <w:b w:val="false"/>
          <w:i w:val="false"/>
          <w:color w:val="000000"/>
          <w:sz w:val="22"/>
        </w:rPr>
        <w:t>A consumable hemp establishment engaged in activities of a consumable hemp manufacturer and a consumable hemp retailer shall register separately for each activity. A registered consumable hemp manufacturer that exclusively sells consumable hemp products it has manufactured to consumers on a retail basis is not mandated to register as a consumable hemp retailer.</w:t>
      </w:r>
    </w:p>
    <w:p>
      <w:pPr>
        <w:spacing w:before="0" w:after="0"/>
        <w:ind w:left="120"/>
        <w:jc w:val="both"/>
      </w:pPr>
      <w:r>
        <w:rPr>
          <w:rFonts w:ascii="Times New Roman" w:hAnsi="Times New Roman"/>
          <w:b/>
          <w:i w:val="false"/>
          <w:color w:val="000000"/>
          <w:sz w:val="22"/>
        </w:rPr>
        <w:t>156.2(4)</w:t>
      </w:r>
      <w:r>
        <w:rPr>
          <w:rFonts w:ascii="Times New Roman" w:hAnsi="Times New Roman"/>
          <w:b w:val="false"/>
          <w:i w:val="false"/>
          <w:color w:val="000000"/>
          <w:sz w:val="22"/>
        </w:rPr>
        <w:t> </w:t>
      </w:r>
      <w:r>
        <w:rPr>
          <w:rFonts w:ascii="Times New Roman" w:hAnsi="Times New Roman"/>
          <w:b w:val="false"/>
          <w:i/>
          <w:color w:val="000000"/>
          <w:sz w:val="22"/>
        </w:rPr>
        <w:t xml:space="preserve">Physical location. </w:t>
      </w:r>
      <w:r>
        <w:rPr>
          <w:rFonts w:ascii="Times New Roman" w:hAnsi="Times New Roman"/>
          <w:b w:val="false"/>
          <w:i w:val="false"/>
          <w:color w:val="000000"/>
          <w:sz w:val="22"/>
        </w:rPr>
        <w:t>A consumable hemp establishment’s registration is valid for one physical location. A consumable hemp establishment that manufactures, processes, packs, holds, prepares, distributes, or sells a consumable hemp product at more than one physical location shall separately register each physical location.</w:t>
      </w:r>
    </w:p>
    <w:p>
      <w:pPr>
        <w:spacing w:before="0" w:after="0"/>
        <w:ind w:left="120"/>
        <w:jc w:val="both"/>
      </w:pPr>
      <w:r>
        <w:rPr>
          <w:rFonts w:ascii="Times New Roman" w:hAnsi="Times New Roman"/>
          <w:b/>
          <w:i w:val="false"/>
          <w:color w:val="000000"/>
          <w:sz w:val="22"/>
        </w:rPr>
        <w:t>156.2(5)</w:t>
      </w:r>
      <w:r>
        <w:rPr>
          <w:rFonts w:ascii="Times New Roman" w:hAnsi="Times New Roman"/>
          <w:b w:val="false"/>
          <w:i w:val="false"/>
          <w:color w:val="000000"/>
          <w:sz w:val="22"/>
        </w:rPr>
        <w:t> </w:t>
      </w:r>
      <w:r>
        <w:rPr>
          <w:rFonts w:ascii="Times New Roman" w:hAnsi="Times New Roman"/>
          <w:b w:val="false"/>
          <w:i/>
          <w:color w:val="000000"/>
          <w:sz w:val="22"/>
        </w:rPr>
        <w:t xml:space="preserve">Expiration and renewal. </w:t>
      </w:r>
      <w:r>
        <w:rPr>
          <w:rFonts w:ascii="Times New Roman" w:hAnsi="Times New Roman"/>
          <w:b w:val="false"/>
          <w:i w:val="false"/>
          <w:color w:val="000000"/>
          <w:sz w:val="22"/>
        </w:rPr>
        <w:t>A consumable hemp registration, unless sooner suspended or revoked, expires one year after the registration is approved by the department. A consumable hemp registration may be renewed annually through the department’s online registration system, accompanied by the registration fee, at least 30 days prior to expiration. Consumable hemp registrations that are expired more than 60 days will be revoked without notice.</w:t>
      </w:r>
    </w:p>
    <w:p>
      <w:pPr>
        <w:spacing w:before="0" w:after="0"/>
        <w:ind w:left="120"/>
        <w:jc w:val="both"/>
      </w:pPr>
      <w:r>
        <w:rPr>
          <w:rFonts w:ascii="Times New Roman" w:hAnsi="Times New Roman"/>
          <w:b/>
          <w:i w:val="false"/>
          <w:color w:val="000000"/>
          <w:sz w:val="22"/>
        </w:rPr>
        <w:t>156.2(6)</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A consumable hemp registration is not transferable to a new owner or new physical location.</w:t>
      </w:r>
    </w:p>
    <w:p>
      <w:pPr>
        <w:spacing w:before="0" w:after="0"/>
        <w:ind w:left="120"/>
        <w:jc w:val="both"/>
      </w:pPr>
      <w:r>
        <w:rPr>
          <w:rFonts w:ascii="Times New Roman" w:hAnsi="Times New Roman"/>
          <w:b/>
          <w:i w:val="false"/>
          <w:color w:val="000000"/>
          <w:sz w:val="22"/>
        </w:rPr>
        <w:t>156.2(7)</w:t>
      </w:r>
      <w:r>
        <w:rPr>
          <w:rFonts w:ascii="Times New Roman" w:hAnsi="Times New Roman"/>
          <w:b w:val="false"/>
          <w:i w:val="false"/>
          <w:color w:val="000000"/>
          <w:sz w:val="22"/>
        </w:rPr>
        <w:t> </w:t>
      </w:r>
      <w:r>
        <w:rPr>
          <w:rFonts w:ascii="Times New Roman" w:hAnsi="Times New Roman"/>
          <w:b w:val="false"/>
          <w:i/>
          <w:color w:val="000000"/>
          <w:sz w:val="22"/>
        </w:rPr>
        <w:t xml:space="preserve">Posting of registrations. </w:t>
      </w:r>
      <w:r>
        <w:rPr>
          <w:rFonts w:ascii="Times New Roman" w:hAnsi="Times New Roman"/>
          <w:b w:val="false"/>
          <w:i w:val="false"/>
          <w:color w:val="000000"/>
          <w:sz w:val="22"/>
        </w:rPr>
        <w:t>A valid registration shall be posted on the premises of the consumable hemp establishment in a location that is visible to the public. An image of the valid registration must also be posted on any website or online point of sale in a location that is visible to the public prior to payment.</w:t>
      </w:r>
    </w:p>
    <w:p>
      <w:pPr>
        <w:spacing w:before="0" w:after="0"/>
        <w:ind w:left="120"/>
        <w:jc w:val="both"/>
      </w:pPr>
      <w:r>
        <w:rPr>
          <w:rFonts w:ascii="Times New Roman" w:hAnsi="Times New Roman"/>
          <w:b/>
          <w:i w:val="false"/>
          <w:color w:val="000000"/>
          <w:sz w:val="22"/>
        </w:rPr>
        <w:t>156.2(8)</w:t>
      </w:r>
      <w:r>
        <w:rPr>
          <w:rFonts w:ascii="Times New Roman" w:hAnsi="Times New Roman"/>
          <w:b w:val="false"/>
          <w:i w:val="false"/>
          <w:color w:val="000000"/>
          <w:sz w:val="22"/>
        </w:rPr>
        <w:t> </w:t>
      </w:r>
      <w:r>
        <w:rPr>
          <w:rFonts w:ascii="Times New Roman" w:hAnsi="Times New Roman"/>
          <w:b w:val="false"/>
          <w:i/>
          <w:color w:val="000000"/>
          <w:sz w:val="22"/>
        </w:rPr>
        <w:t xml:space="preserve">Returned payments. </w:t>
      </w:r>
      <w:r>
        <w:rPr>
          <w:rFonts w:ascii="Times New Roman" w:hAnsi="Times New Roman"/>
          <w:b w:val="false"/>
          <w:i w:val="false"/>
          <w:color w:val="000000"/>
          <w:sz w:val="22"/>
        </w:rPr>
        <w:t xml:space="preserve">The department will attempt to redeem a payment submitted for a consumable hemp registration that is not honored by the bank on which it is drafted. The department will notify the applicant of the need to provide sufficient payment. An additional fee of $25 shall be assessed for each dishonored payment. If the department does not receive payment, the establishment will be operating without a valid registration and is subject to penalties set forth in rule </w:t>
      </w:r>
      <w:hyperlink r:id="rId9">
        <w:r>
          <w:rPr>
            <w:rStyle w:val="Hyperlink"/>
            <w:rFonts w:ascii="Times New Roman" w:hAnsi="Times New Roman"/>
            <w:b w:val="false"/>
            <w:i w:val="false"/>
            <w:color w:val="000000"/>
            <w:sz w:val="22"/>
          </w:rPr>
          <w:t>641—156.7(204)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641—156.3</w:t>
      </w:r>
      <w:r>
        <w:rPr>
          <w:rFonts w:ascii="Times New Roman" w:hAnsi="Times New Roman"/>
          <w:b/>
          <w:i w:val="false"/>
          <w:color w:val="000000"/>
          <w:sz w:val="22"/>
        </w:rPr>
        <w:t xml:space="preserve">(204) </w:t>
      </w:r>
      <w:r>
        <w:rPr>
          <w:rFonts w:ascii="Times New Roman" w:hAnsi="Times New Roman"/>
          <w:b/>
          <w:i w:val="false"/>
          <w:color w:val="000000"/>
          <w:sz w:val="22"/>
        </w:rPr>
        <w:t xml:space="preserve">Testing requirements and documentation. </w:t>
      </w:r>
    </w:p>
    <w:p>
      <w:pPr>
        <w:spacing w:before="0" w:after="0"/>
        <w:ind w:left="120"/>
        <w:jc w:val="both"/>
      </w:pPr>
      <w:r>
        <w:rPr>
          <w:rFonts w:ascii="Times New Roman" w:hAnsi="Times New Roman"/>
          <w:b/>
          <w:i w:val="false"/>
          <w:color w:val="000000"/>
          <w:sz w:val="22"/>
        </w:rPr>
        <w:t>156.3(1)</w:t>
      </w:r>
      <w:r>
        <w:rPr>
          <w:rFonts w:ascii="Times New Roman" w:hAnsi="Times New Roman"/>
          <w:b w:val="false"/>
          <w:i w:val="false"/>
          <w:color w:val="000000"/>
          <w:sz w:val="22"/>
        </w:rPr>
        <w:t> </w:t>
      </w:r>
      <w:r>
        <w:rPr>
          <w:rFonts w:ascii="Times New Roman" w:hAnsi="Times New Roman"/>
          <w:b w:val="false"/>
          <w:i/>
          <w:color w:val="000000"/>
          <w:sz w:val="22"/>
        </w:rPr>
        <w:t xml:space="preserve">Approved hemp source; certificate of analysis. </w:t>
      </w:r>
      <w:r>
        <w:rPr>
          <w:rFonts w:ascii="Times New Roman" w:hAnsi="Times New Roman"/>
          <w:b w:val="false"/>
          <w:i w:val="false"/>
          <w:color w:val="000000"/>
          <w:sz w:val="22"/>
        </w:rPr>
        <w:t>A consumable hemp product cannot be distributed or sold unless: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consumable hemp product is from an approved hemp source and is accompanied by documentation that identifies the jurisdiction of origin. Documentation that identifies the jurisdiction of origin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Certificate of free sale issued by the jurisdiction of origin;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Product label statements, provided the product label identifies the jurisdiction of origin;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Other documentation that identifies the jurisdiction of origin and also identifies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Brand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Product name;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Serving and container size in terms of net quantity of contents;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Lot number for the batch.</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consumable hemp product has a certificate of analysis issued within the last year by an independent accredited laboratory that verifies and states: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The consumable hemp product is from a batch that has been tested by the independent accredited laboratory consistent with generally accepted industry standards for herbal and botanical substances;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presence and concentration of cannabinoids, including delta-9 tetrahydrocannabinol, tetrahydrocannabinolic acid, cannabidiol, and any other cannabinoids for which the product is being marketed;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The consumable hemp product is from a batch that contained a total delta-9 tetrahydrocannabinol concentration that did not exceed 0.3 percent on a dry weight basis as calculated pursuant to an official postdecarboxylation analysis, as provided in Iowa Code section </w:t>
      </w:r>
      <w:hyperlink r:id="rId10">
        <w:r>
          <w:rPr>
            <w:rStyle w:val="Hyperlink"/>
            <w:rFonts w:ascii="Times New Roman" w:hAnsi="Times New Roman"/>
            <w:b w:val="false"/>
            <w:i w:val="false"/>
            <w:color w:val="000000"/>
            <w:sz w:val="22"/>
          </w:rPr>
          <w:t>204.8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The consumable hemp product is from a batch that has been tested for, and does not contain more than trace amounts of, pesticides, residual solvents, metals, harmful pathogens, and toxicants; and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The batch does not contain synthetic or semisynthetic cannabinoids as described in these rules.</w:t>
      </w:r>
    </w:p>
    <w:p>
      <w:pPr>
        <w:spacing w:before="0" w:after="0"/>
        <w:ind w:left="120"/>
        <w:jc w:val="both"/>
      </w:pPr>
      <w:r>
        <w:rPr>
          <w:rFonts w:ascii="Times New Roman" w:hAnsi="Times New Roman"/>
          <w:b/>
          <w:i w:val="false"/>
          <w:color w:val="000000"/>
          <w:sz w:val="22"/>
        </w:rPr>
        <w:t>156.3(2)</w:t>
      </w:r>
      <w:r>
        <w:rPr>
          <w:rFonts w:ascii="Times New Roman" w:hAnsi="Times New Roman"/>
          <w:b w:val="false"/>
          <w:i w:val="false"/>
          <w:color w:val="000000"/>
          <w:sz w:val="22"/>
        </w:rPr>
        <w:t> </w:t>
      </w:r>
      <w:r>
        <w:rPr>
          <w:rFonts w:ascii="Times New Roman" w:hAnsi="Times New Roman"/>
          <w:b w:val="false"/>
          <w:i/>
          <w:color w:val="000000"/>
          <w:sz w:val="22"/>
        </w:rPr>
        <w:t xml:space="preserve">Toxicant limits. </w:t>
      </w:r>
      <w:r>
        <w:rPr>
          <w:rFonts w:ascii="Times New Roman" w:hAnsi="Times New Roman"/>
          <w:b w:val="false"/>
          <w:i w:val="false"/>
          <w:color w:val="000000"/>
          <w:sz w:val="22"/>
        </w:rPr>
        <w:t xml:space="preserve">If a testing sample is found to contain greater than trace amounts of any pesticide, residual solvent, metal, harmful pathogen, or toxicants, the product is considered adulterated and cannot enter commerce. </w:t>
      </w:r>
    </w:p>
    <w:p>
      <w:pPr>
        <w:spacing w:before="0" w:after="0"/>
        <w:ind w:left="120"/>
        <w:jc w:val="both"/>
      </w:pPr>
      <w:r>
        <w:rPr>
          <w:rFonts w:ascii="Times New Roman" w:hAnsi="Times New Roman"/>
          <w:b/>
          <w:i w:val="false"/>
          <w:color w:val="000000"/>
          <w:sz w:val="22"/>
        </w:rPr>
        <w:t>156.3(3)</w:t>
      </w:r>
      <w:r>
        <w:rPr>
          <w:rFonts w:ascii="Times New Roman" w:hAnsi="Times New Roman"/>
          <w:b w:val="false"/>
          <w:i w:val="false"/>
          <w:color w:val="000000"/>
          <w:sz w:val="22"/>
        </w:rPr>
        <w:t> </w:t>
      </w:r>
      <w:r>
        <w:rPr>
          <w:rFonts w:ascii="Times New Roman" w:hAnsi="Times New Roman"/>
          <w:b w:val="false"/>
          <w:i/>
          <w:color w:val="000000"/>
          <w:sz w:val="22"/>
        </w:rPr>
        <w:t xml:space="preserve">Examination of records. </w:t>
      </w:r>
      <w:r>
        <w:rPr>
          <w:rFonts w:ascii="Times New Roman" w:hAnsi="Times New Roman"/>
          <w:b w:val="false"/>
          <w:i w:val="false"/>
          <w:color w:val="000000"/>
          <w:sz w:val="22"/>
        </w:rPr>
        <w:t>All documentation mandated by this rule shall be maintained by the consumable hemp establishment and provided to the department or other regulatory authority immediately upon request.</w:t>
      </w:r>
    </w:p>
    <w:p>
      <w:pPr>
        <w:spacing w:before="0" w:after="0"/>
        <w:ind w:left="120"/>
        <w:jc w:val="both"/>
      </w:pPr>
      <w:r>
        <w:rPr>
          <w:rFonts w:ascii="Times New Roman" w:hAnsi="Times New Roman"/>
          <w:b/>
          <w:i w:val="false"/>
          <w:color w:val="000000"/>
          <w:sz w:val="22"/>
        </w:rPr>
        <w:t>156.3(4)</w:t>
      </w:r>
      <w:r>
        <w:rPr>
          <w:rFonts w:ascii="Times New Roman" w:hAnsi="Times New Roman"/>
          <w:b w:val="false"/>
          <w:i w:val="false"/>
          <w:color w:val="000000"/>
          <w:sz w:val="22"/>
        </w:rPr>
        <w:t> </w:t>
      </w:r>
      <w:r>
        <w:rPr>
          <w:rFonts w:ascii="Times New Roman" w:hAnsi="Times New Roman"/>
          <w:b w:val="false"/>
          <w:i/>
          <w:color w:val="000000"/>
          <w:sz w:val="22"/>
        </w:rPr>
        <w:t xml:space="preserve">Independent accredited laboratory. </w:t>
      </w:r>
      <w:r>
        <w:rPr>
          <w:rFonts w:ascii="Times New Roman" w:hAnsi="Times New Roman"/>
          <w:b w:val="false"/>
          <w:i w:val="false"/>
          <w:color w:val="000000"/>
          <w:sz w:val="22"/>
        </w:rPr>
        <w:t>A consumable hemp establishment cannot utilize an accredited laboratory in which it has an ownership interest unless the consumable hemp establishment holds less than a 10 percent ownership interest in the accredited laboratory if the accredited laboratory is a publicly traded company. All testing of consumable hemp products under this rule must be conducted by an independent accredited testing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641—156.4</w:t>
      </w:r>
      <w:r>
        <w:rPr>
          <w:rFonts w:ascii="Times New Roman" w:hAnsi="Times New Roman"/>
          <w:b/>
          <w:i w:val="false"/>
          <w:color w:val="000000"/>
          <w:sz w:val="22"/>
        </w:rPr>
        <w:t xml:space="preserve">(204) </w:t>
      </w:r>
      <w:r>
        <w:rPr>
          <w:rFonts w:ascii="Times New Roman" w:hAnsi="Times New Roman"/>
          <w:b/>
          <w:i w:val="false"/>
          <w:color w:val="000000"/>
          <w:sz w:val="22"/>
        </w:rPr>
        <w:t xml:space="preserve">Packaging and labeling. </w:t>
      </w:r>
    </w:p>
    <w:p>
      <w:pPr>
        <w:spacing w:before="0" w:after="0"/>
        <w:ind w:left="120"/>
        <w:jc w:val="both"/>
      </w:pP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consumable hemp product intended for individual retail sale is labeled such that a reasonable consumer would plainly identify the product as a consumable hemp product and contains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Lot number for the batch;</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Expiration date;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Brand name;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Product name;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List of ingredients;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Name, telephone number, and email address of the product manufacturer. If the registered manufacturer uses a contracted third-party or white-label manufacturer, the name of that entity must also be included on the container or label and is not proprietary or confidential under Iowa Code section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If specific cannabinoids are contained within or marketed for the product, the number of milligrams of each cannabinoid per serving and serving size;</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A certificate of analysis that the batch contained a total THC concentration that did not exceed 0.3 percent on a dry weight basis as calculated pursuant to an official test as provided in Iowa Code section </w:t>
      </w:r>
      <w:hyperlink r:id="rId12">
        <w:r>
          <w:rPr>
            <w:rStyle w:val="Hyperlink"/>
            <w:rFonts w:ascii="Times New Roman" w:hAnsi="Times New Roman"/>
            <w:b w:val="false"/>
            <w:i w:val="false"/>
            <w:color w:val="000000"/>
            <w:sz w:val="22"/>
          </w:rPr>
          <w:t>204.8</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A declaration of the net quantity of contents indicating the number of servings and total THC per serving and per container in compliance with Iowa Code section </w:t>
      </w:r>
      <w:hyperlink r:id="rId13">
        <w:r>
          <w:rPr>
            <w:rStyle w:val="Hyperlink"/>
            <w:rFonts w:ascii="Times New Roman" w:hAnsi="Times New Roman"/>
            <w:b w:val="false"/>
            <w:i w:val="false"/>
            <w:color w:val="000000"/>
            <w:sz w:val="22"/>
          </w:rPr>
          <w:t>204.2</w:t>
        </w:r>
      </w:hyperlink>
      <w:r>
        <w:rPr>
          <w:rFonts w:ascii="Times New Roman" w:hAnsi="Times New Roman"/>
          <w:b w:val="false"/>
          <w:i w:val="false"/>
          <w:color w:val="000000"/>
          <w:sz w:val="22"/>
        </w:rPr>
        <w:t>; and</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A warning label containing the following or substantially similar language, in addition to any other warning language necessitated by the specific product. This warning label may be divided into multiple sections on a label, provided that all the information is included in a prominent and conspicuous manner as compared to other words, statements, or designs on the container label: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A statement that the product has not been evaluated or approved by the United States Food and Drug Administration (unless such approval has been secured);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The potential for the product to cause the consumer to fail a drug test for THC;</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A statement that products containing THC may cause impairment and impact a consumer’s ability to operate a vehicle;</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A statement that the product is not recommended for use by pregnant or breastfeeding women;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A statement that product use may result in health risks and medication interactions; and</w:t>
      </w:r>
    </w:p>
    <w:p>
      <w:pPr>
        <w:spacing w:before="0" w:after="0"/>
        <w:ind w:left="120"/>
        <w:jc w:val="left"/>
      </w:pPr>
      <w:r>
        <w:rPr>
          <w:rFonts w:ascii="Times New Roman" w:hAnsi="Times New Roman"/>
          <w:b w:val="false"/>
          <w:i w:val="false"/>
          <w:color w:val="000000"/>
          <w:sz w:val="22"/>
        </w:rPr>
        <w:t>(6)</w:t>
      </w:r>
    </w:p>
    <w:p>
      <w:pPr>
        <w:spacing w:before="0" w:after="0"/>
        <w:ind w:left="0"/>
        <w:jc w:val="both"/>
      </w:pPr>
      <w:r>
        <w:rPr>
          <w:rFonts w:ascii="Times New Roman" w:hAnsi="Times New Roman"/>
          <w:b w:val="false"/>
          <w:i w:val="false"/>
          <w:color w:val="000000"/>
          <w:sz w:val="22"/>
        </w:rPr>
        <w:t>A statement in capital letters to KEEP THIS PRODUCT OUT OF REACH OF CHILDREN.</w:t>
      </w:r>
    </w:p>
    <w:p>
      <w:pPr>
        <w:spacing w:before="0" w:after="0"/>
        <w:ind w:left="120"/>
        <w:jc w:val="both"/>
      </w:pPr>
      <w:r>
        <w:rPr>
          <w:rFonts w:ascii="Times New Roman" w:hAnsi="Times New Roman"/>
          <w:b w:val="false"/>
          <w:i w:val="false"/>
          <w:color w:val="000000"/>
          <w:sz w:val="22"/>
        </w:rPr>
        <w:t>The labeling must not contain any claim that the product may be used or is effective for the prevention, treatment, or cure of a disease or that it may be used to alter the structure or function of human or animal bodies unless the claim has been approved by the federal Food and Drug Administration.</w:t>
      </w:r>
    </w:p>
    <w:p>
      <w:pPr>
        <w:spacing w:before="0" w:after="0"/>
        <w:ind w:left="120"/>
        <w:jc w:val="both"/>
      </w:pP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The labeling mandated in paragraphs </w:t>
      </w:r>
      <w:hyperlink r:id="rId14">
        <w:r>
          <w:rPr>
            <w:rStyle w:val="Hyperlink"/>
            <w:rFonts w:ascii="Times New Roman" w:hAnsi="Times New Roman"/>
            <w:b w:val="false"/>
            <w:i w:val="false"/>
            <w:color w:val="000000"/>
            <w:sz w:val="22"/>
          </w:rPr>
          <w:t>156.4(1)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may be in the form of:</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A uniform resource locator (URL) for the manufacturer’s Internet website that provides or links to the information mandated by this rule;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A QR code or other bar code that may be scanned and that leads to the information required on the label.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641—156.5</w:t>
      </w:r>
      <w:r>
        <w:rPr>
          <w:rFonts w:ascii="Times New Roman" w:hAnsi="Times New Roman"/>
          <w:b/>
          <w:i w:val="false"/>
          <w:color w:val="000000"/>
          <w:sz w:val="22"/>
        </w:rPr>
        <w:t xml:space="preserve">(204) </w:t>
      </w:r>
      <w:r>
        <w:rPr>
          <w:rFonts w:ascii="Times New Roman" w:hAnsi="Times New Roman"/>
          <w:b/>
          <w:i w:val="false"/>
          <w:color w:val="000000"/>
          <w:sz w:val="22"/>
        </w:rPr>
        <w:t xml:space="preserve">Applicability of other laws and regulations. </w:t>
      </w:r>
    </w:p>
    <w:p>
      <w:pPr>
        <w:spacing w:before="0" w:after="0"/>
        <w:ind w:left="120"/>
        <w:jc w:val="both"/>
      </w:pPr>
      <w:r>
        <w:rPr>
          <w:rFonts w:ascii="Times New Roman" w:hAnsi="Times New Roman"/>
          <w:b/>
          <w:i w:val="false"/>
          <w:color w:val="000000"/>
          <w:sz w:val="22"/>
        </w:rPr>
        <w:t>156.5(1)</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establishment shall comply with all relevant Iowa laws and regulations applicable to the manufacturing, processing, storage, distribution, and sale of food, including but not limited to Iowa Code chapter </w:t>
      </w:r>
      <w:hyperlink r:id="rId15">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Iowa Code chapter </w:t>
      </w:r>
      <w:hyperlink r:id="rId16">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regulations promulgated under those chapters. </w:t>
      </w:r>
    </w:p>
    <w:p>
      <w:pPr>
        <w:spacing w:before="0" w:after="0"/>
        <w:ind w:left="120"/>
        <w:jc w:val="both"/>
      </w:pPr>
      <w:r>
        <w:rPr>
          <w:rFonts w:ascii="Times New Roman" w:hAnsi="Times New Roman"/>
          <w:b/>
          <w:i w:val="false"/>
          <w:color w:val="000000"/>
          <w:sz w:val="22"/>
        </w:rPr>
        <w:t>156.5(2)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 </w:t>
      </w:r>
      <w:hyperlink r:id="rId1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shall not introduce any consumable hemp product into the alcoholic beverage product for which the individual or entity is subject to Iowa Code chapter </w:t>
      </w:r>
      <w:hyperlink r:id="rId18">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unless the consumable hemp product is GRAS by the federal Food and Drug Administration and is thus not deemed adulterated. </w:t>
      </w:r>
    </w:p>
    <w:p>
      <w:pPr>
        <w:spacing w:before="0" w:after="0"/>
        <w:ind w:left="120"/>
        <w:jc w:val="both"/>
      </w:pPr>
      <w:r>
        <w:rPr>
          <w:rFonts w:ascii="Times New Roman" w:hAnsi="Times New Roman"/>
          <w:b/>
          <w:i w:val="false"/>
          <w:color w:val="000000"/>
          <w:sz w:val="22"/>
        </w:rPr>
        <w:t>156.5(3)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 </w:t>
      </w:r>
      <w:hyperlink r:id="rId19">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shall not introduce any consumable hemp product into the meat or poultry product for which the individual or entity is subject to Iowa Code chapter </w:t>
      </w:r>
      <w:hyperlink r:id="rId20">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unless the consumable hemp product is GRAS by the federal Food and Drug Administration and is thus not deemed adulterated. A consumable hemp retailer may introduce any consumable hemp product into meat or poultry sold to consumers on a retail basis in intrastate commerce.</w:t>
      </w:r>
    </w:p>
    <w:p>
      <w:pPr>
        <w:spacing w:before="0" w:after="0"/>
        <w:ind w:left="120"/>
        <w:jc w:val="both"/>
      </w:pPr>
      <w:r>
        <w:rPr>
          <w:rFonts w:ascii="Times New Roman" w:hAnsi="Times New Roman"/>
          <w:b/>
          <w:i w:val="false"/>
          <w:color w:val="000000"/>
          <w:sz w:val="22"/>
        </w:rPr>
        <w:t>156.5(4)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entity subject to Iowa Code chapters </w:t>
      </w:r>
      <w:hyperlink r:id="rId21">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shall not introduce any consumable hemp product into the dairy product for which the individual or entity is subject to Iowa Code chapters </w:t>
      </w:r>
      <w:hyperlink r:id="rId23">
        <w:r>
          <w:rPr>
            <w:rStyle w:val="Hyperlink"/>
            <w:rFonts w:ascii="Times New Roman" w:hAnsi="Times New Roman"/>
            <w:b w:val="false"/>
            <w:i w:val="false"/>
            <w:color w:val="000000"/>
            <w:sz w:val="22"/>
          </w:rPr>
          <w:t>190</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unless the consumable hemp product is GRAS by the federal Food and Drug Administration and is thus not deemed adulterated. A consumable hemp retailer may introduce any consumable hemp products into dairy products sold to consumers on a retail basis in intrastate commerce.</w:t>
      </w:r>
    </w:p>
    <w:p>
      <w:pPr>
        <w:spacing w:before="0" w:after="0"/>
        <w:ind w:left="120"/>
        <w:jc w:val="both"/>
      </w:pPr>
      <w:r>
        <w:rPr>
          <w:rFonts w:ascii="Times New Roman" w:hAnsi="Times New Roman"/>
          <w:b/>
          <w:i w:val="false"/>
          <w:color w:val="000000"/>
          <w:sz w:val="22"/>
        </w:rPr>
        <w:t>156.5(5)</w:t>
      </w:r>
      <w:r>
        <w:rPr>
          <w:rFonts w:ascii="Times New Roman" w:hAnsi="Times New Roman"/>
          <w:b w:val="false"/>
          <w:i w:val="false"/>
          <w:color w:val="000000"/>
          <w:sz w:val="22"/>
        </w:rPr>
        <w:t> </w:t>
      </w:r>
      <w:r>
        <w:rPr>
          <w:rFonts w:ascii="Times New Roman" w:hAnsi="Times New Roman"/>
          <w:b w:val="false"/>
          <w:i w:val="false"/>
          <w:color w:val="000000"/>
          <w:sz w:val="22"/>
        </w:rPr>
        <w:t xml:space="preserve">Consumable hemp products in interstate commerce are subject to federal law. Compliance with Iowa Code chapter </w:t>
      </w:r>
      <w:hyperlink r:id="rId25">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this chapter does not represent compliance with federal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641—156.6</w:t>
      </w:r>
      <w:r>
        <w:rPr>
          <w:rFonts w:ascii="Times New Roman" w:hAnsi="Times New Roman"/>
          <w:b/>
          <w:i w:val="false"/>
          <w:color w:val="000000"/>
          <w:sz w:val="22"/>
        </w:rPr>
        <w:t xml:space="preserve">(204) </w:t>
      </w:r>
      <w:r>
        <w:rPr>
          <w:rFonts w:ascii="Times New Roman" w:hAnsi="Times New Roman"/>
          <w:b/>
          <w:i w:val="false"/>
          <w:color w:val="000000"/>
          <w:sz w:val="22"/>
        </w:rPr>
        <w:t xml:space="preserve">Prohibitions. </w:t>
      </w:r>
    </w:p>
    <w:p>
      <w:pPr>
        <w:spacing w:before="0" w:after="0"/>
        <w:ind w:left="120"/>
        <w:jc w:val="both"/>
      </w:pP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val="false"/>
          <w:color w:val="000000"/>
          <w:sz w:val="22"/>
        </w:rPr>
        <w:t>A consumable hemp establishment cannot manufacture, process, pack, hold, prepare, distribute, or sell consumable hemp products: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On the premises of a private residence, except a portion of a private residence that is distinctly separate from any living space, that is dedicated to the production or sale of food, and that meets all applicable state and local regulations;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On the premises of a temporary location, including but not limited to a food stand, roadside stand, temporary booth, or any other temporary structure;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Door to door;</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Through vending machines; or</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At private parties.</w:t>
      </w:r>
    </w:p>
    <w:p>
      <w:pPr>
        <w:spacing w:before="0" w:after="0"/>
        <w:ind w:left="120"/>
        <w:jc w:val="both"/>
      </w:pP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may be sold at a stand at a farmers market, provided: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farmers market is listed on the Iowa department of agriculture and land stewardship’s farmers market directory;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individual selling the consumable hemp product maintains a valid consumable hemp retailer registration at any location where consumable hemp is stored;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The consumable hemp establishment registration is posted in plain sight at the farmers market stand;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All consumable hemp products sold are listed and maintained up to date with the department.</w:t>
      </w:r>
    </w:p>
    <w:p>
      <w:pPr>
        <w:spacing w:before="0" w:after="0"/>
        <w:ind w:left="120"/>
        <w:jc w:val="both"/>
      </w:pP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label and any associated marketing materials shall not contain any claim that the product may be used or is effective for the prevention, treatment, or cure of a disease or that it may be used to alter the structure or function of human or animal bodies unless the claim has been approved by the federal Food and Drug Administration.</w:t>
      </w:r>
    </w:p>
    <w:p>
      <w:pPr>
        <w:spacing w:before="0" w:after="0"/>
        <w:ind w:left="120"/>
        <w:jc w:val="both"/>
      </w:pPr>
      <w:r>
        <w:rPr>
          <w:rFonts w:ascii="Times New Roman" w:hAnsi="Times New Roman"/>
          <w:b/>
          <w:i w:val="false"/>
          <w:color w:val="000000"/>
          <w:sz w:val="22"/>
        </w:rPr>
        <w:t>156.6(4)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retailer cannot manufacture, process, package, repackage, relabel, mix, blend, or otherwise manipulate a consumable hemp product. This subrule does not apply to a food service establishment that utilizes a consumable hemp product from an approved hemp source as a food ingredient intended for immediate consumption by the consumer, provided that the food service establishment discloses all label information mandated by rule </w:t>
      </w:r>
      <w:hyperlink r:id="rId26">
        <w:r>
          <w:rPr>
            <w:rStyle w:val="Hyperlink"/>
            <w:rFonts w:ascii="Times New Roman" w:hAnsi="Times New Roman"/>
            <w:b w:val="false"/>
            <w:i w:val="false"/>
            <w:color w:val="000000"/>
            <w:sz w:val="22"/>
          </w:rPr>
          <w:t>641—156.4(204)</w:t>
        </w:r>
      </w:hyperlink>
      <w:r>
        <w:rPr>
          <w:rFonts w:ascii="Times New Roman" w:hAnsi="Times New Roman"/>
          <w:b w:val="false"/>
          <w:i w:val="false"/>
          <w:color w:val="000000"/>
          <w:sz w:val="22"/>
        </w:rPr>
        <w:t xml:space="preserve"> to the consumer through the menu, menu board, placard, table tent, or other effective means.</w:t>
      </w:r>
    </w:p>
    <w:p>
      <w:pPr>
        <w:spacing w:before="0" w:after="0"/>
        <w:ind w:left="120"/>
        <w:jc w:val="both"/>
      </w:pPr>
      <w:r>
        <w:rPr>
          <w:rFonts w:ascii="Times New Roman" w:hAnsi="Times New Roman"/>
          <w:b/>
          <w:i w:val="false"/>
          <w:color w:val="000000"/>
          <w:sz w:val="22"/>
        </w:rPr>
        <w:t>156.6(5)</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that does not conform to this chapter is considered adulterated or misbranded and cannot enter commerce.</w:t>
      </w:r>
    </w:p>
    <w:p>
      <w:pPr>
        <w:spacing w:before="0" w:after="0"/>
        <w:ind w:left="120"/>
        <w:jc w:val="both"/>
      </w:pPr>
      <w:r>
        <w:rPr>
          <w:rFonts w:ascii="Times New Roman" w:hAnsi="Times New Roman"/>
          <w:b/>
          <w:i w:val="false"/>
          <w:color w:val="000000"/>
          <w:sz w:val="22"/>
        </w:rPr>
        <w:t>156.6(6)</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retailer or manufacturer shall not sell or distribute consumable hemp products to person under 21 years of age, subject to verification. Proof of age may be established by a valid driver’s license, identification card issued by Iowa or another state, or other form of government-issued identification and must include the photograph and date of birth of the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641—156.7</w:t>
      </w:r>
      <w:r>
        <w:rPr>
          <w:rFonts w:ascii="Times New Roman" w:hAnsi="Times New Roman"/>
          <w:b/>
          <w:i w:val="false"/>
          <w:color w:val="000000"/>
          <w:sz w:val="22"/>
        </w:rPr>
        <w:t xml:space="preserve">(204) </w:t>
      </w:r>
      <w:r>
        <w:rPr>
          <w:rFonts w:ascii="Times New Roman" w:hAnsi="Times New Roman"/>
          <w:b/>
          <w:i w:val="false"/>
          <w:color w:val="000000"/>
          <w:sz w:val="22"/>
        </w:rPr>
        <w:t xml:space="preserve">Violations and enforcement. </w:t>
      </w:r>
    </w:p>
    <w:p>
      <w:pPr>
        <w:spacing w:before="0" w:after="0"/>
        <w:ind w:left="120"/>
        <w:jc w:val="both"/>
      </w:pPr>
      <w:r>
        <w:rPr>
          <w:rFonts w:ascii="Times New Roman" w:hAnsi="Times New Roman"/>
          <w:b/>
          <w:i w:val="false"/>
          <w:color w:val="000000"/>
          <w:sz w:val="22"/>
        </w:rPr>
        <w:t>156.7(1)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consumable hemp product introduced into commerce by an individual or entity without a consumable hemp registration approved by the department in accordance with rule </w:t>
      </w:r>
      <w:hyperlink r:id="rId27">
        <w:r>
          <w:rPr>
            <w:rStyle w:val="Hyperlink"/>
            <w:rFonts w:ascii="Times New Roman" w:hAnsi="Times New Roman"/>
            <w:b w:val="false"/>
            <w:i w:val="false"/>
            <w:color w:val="000000"/>
            <w:sz w:val="22"/>
          </w:rPr>
          <w:t>641—156.2(204)</w:t>
        </w:r>
      </w:hyperlink>
      <w:r>
        <w:rPr>
          <w:rFonts w:ascii="Times New Roman" w:hAnsi="Times New Roman"/>
          <w:b w:val="false"/>
          <w:i w:val="false"/>
          <w:color w:val="000000"/>
          <w:sz w:val="22"/>
        </w:rPr>
        <w:t xml:space="preserve"> is subject to immediate embargo.</w:t>
      </w:r>
    </w:p>
    <w:p>
      <w:pPr>
        <w:spacing w:before="0" w:after="0"/>
        <w:ind w:left="120"/>
        <w:jc w:val="both"/>
      </w:pPr>
      <w:r>
        <w:rPr>
          <w:rFonts w:ascii="Times New Roman" w:hAnsi="Times New Roman"/>
          <w:b/>
          <w:i w:val="false"/>
          <w:color w:val="000000"/>
          <w:sz w:val="22"/>
        </w:rPr>
        <w:t>156.7(2)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consumable hemp product that is adulterated or misbranded when introduced into commerce is subject to immediate embargo. </w:t>
      </w:r>
    </w:p>
    <w:p>
      <w:pPr>
        <w:spacing w:before="0" w:after="0"/>
        <w:ind w:left="120"/>
        <w:jc w:val="both"/>
      </w:pPr>
      <w:r>
        <w:rPr>
          <w:rFonts w:ascii="Times New Roman" w:hAnsi="Times New Roman"/>
          <w:b/>
          <w:i w:val="false"/>
          <w:color w:val="000000"/>
          <w:sz w:val="22"/>
        </w:rPr>
        <w:t>156.7(3)</w:t>
      </w:r>
      <w:r>
        <w:rPr>
          <w:rFonts w:ascii="Times New Roman" w:hAnsi="Times New Roman"/>
          <w:b w:val="false"/>
          <w:i w:val="false"/>
          <w:color w:val="000000"/>
          <w:sz w:val="22"/>
        </w:rPr>
        <w:t> </w:t>
      </w:r>
      <w:r>
        <w:rPr>
          <w:rFonts w:ascii="Times New Roman" w:hAnsi="Times New Roman"/>
          <w:b w:val="false"/>
          <w:i w:val="false"/>
          <w:color w:val="000000"/>
          <w:sz w:val="22"/>
        </w:rPr>
        <w:t>A consumable hemp product that the department reasonably believes may be injurious to public health or that has entered commerce and is not in conformance with this chapter is subject to immediate embargo.</w:t>
      </w:r>
    </w:p>
    <w:p>
      <w:pPr>
        <w:spacing w:before="0" w:after="0"/>
        <w:ind w:left="120"/>
        <w:jc w:val="both"/>
      </w:pPr>
      <w:r>
        <w:rPr>
          <w:rFonts w:ascii="Times New Roman" w:hAnsi="Times New Roman"/>
          <w:b/>
          <w:i w:val="false"/>
          <w:color w:val="000000"/>
          <w:sz w:val="22"/>
        </w:rPr>
        <w:t>156.7(4)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embargo of a consumable hemp product is effective until such a time as the violation is remedied or the product is disposed of in a reasonable manner as determined by the department. If the violation cannot be remedied and disposal is necessary, the cost of disposal is the responsibility of the consumable hemp establishment. Disposal shall be observed by a person approved by the department. The embargo of a consumable hemp product may be appealed in accordance with rule </w:t>
      </w:r>
      <w:hyperlink r:id="rId28">
        <w:r>
          <w:rPr>
            <w:rStyle w:val="Hyperlink"/>
            <w:rFonts w:ascii="Times New Roman" w:hAnsi="Times New Roman"/>
            <w:b w:val="false"/>
            <w:i w:val="false"/>
            <w:color w:val="000000"/>
            <w:sz w:val="22"/>
          </w:rPr>
          <w:t>641—156.8(204)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156.7(5)</w:t>
      </w:r>
      <w:r>
        <w:rPr>
          <w:rFonts w:ascii="Times New Roman" w:hAnsi="Times New Roman"/>
          <w:b w:val="false"/>
          <w:i w:val="false"/>
          <w:color w:val="000000"/>
          <w:sz w:val="22"/>
        </w:rPr>
        <w:t> </w:t>
      </w:r>
      <w:r>
        <w:rPr>
          <w:rFonts w:ascii="Times New Roman" w:hAnsi="Times New Roman"/>
          <w:b w:val="false"/>
          <w:i w:val="false"/>
          <w:color w:val="000000"/>
          <w:sz w:val="22"/>
        </w:rPr>
        <w:t>A consumable hemp manufacturer will conduct a recall of a consumable hemp product lot that has been tested and found to be adulterated. The cost of a recall or disposal of the product is the responsibility of the consumable hemp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641—156.8</w:t>
      </w:r>
      <w:r>
        <w:rPr>
          <w:rFonts w:ascii="Times New Roman" w:hAnsi="Times New Roman"/>
          <w:b/>
          <w:i w:val="false"/>
          <w:color w:val="000000"/>
          <w:sz w:val="22"/>
        </w:rPr>
        <w:t xml:space="preserve">(204) </w:t>
      </w:r>
      <w:r>
        <w:rPr>
          <w:rFonts w:ascii="Times New Roman" w:hAnsi="Times New Roman"/>
          <w:b/>
          <w:i w:val="false"/>
          <w:color w:val="000000"/>
          <w:sz w:val="22"/>
        </w:rPr>
        <w:t xml:space="preserve">Denial, suspension, or revocation of registration. </w:t>
      </w:r>
      <w:r>
        <w:rPr>
          <w:rFonts w:ascii="Times New Roman" w:hAnsi="Times New Roman"/>
          <w:b w:val="false"/>
          <w:i w:val="false"/>
          <w:color w:val="000000"/>
          <w:sz w:val="22"/>
        </w:rPr>
        <w:t>The department may deny, suspend, or revoke a registration in any case where the department finds there has been repeated failure on the part of the consumable hemp establishment to comply with the provisions of this chapter, or for any of the following reasons:</w:t>
      </w:r>
    </w:p>
    <w:p>
      <w:pPr>
        <w:spacing w:before="0" w:after="0"/>
        <w:ind w:left="120"/>
        <w:jc w:val="both"/>
      </w:pPr>
      <w:r>
        <w:rPr>
          <w:rFonts w:ascii="Times New Roman" w:hAnsi="Times New Roman"/>
          <w:b/>
          <w:i w:val="false"/>
          <w:color w:val="000000"/>
          <w:sz w:val="22"/>
        </w:rPr>
        <w:t>156.8(1)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register. An individual or entity that introduces a consumable hemp product into commerce without a consumable hemp registration approved by the department in accordance with rule </w:t>
      </w:r>
      <w:hyperlink r:id="rId29">
        <w:r>
          <w:rPr>
            <w:rStyle w:val="Hyperlink"/>
            <w:rFonts w:ascii="Times New Roman" w:hAnsi="Times New Roman"/>
            <w:b w:val="false"/>
            <w:i w:val="false"/>
            <w:color w:val="000000"/>
            <w:sz w:val="22"/>
          </w:rPr>
          <w:t>641—156.2(204)</w:t>
        </w:r>
      </w:hyperlink>
      <w:r>
        <w:rPr>
          <w:rFonts w:ascii="Times New Roman" w:hAnsi="Times New Roman"/>
          <w:b w:val="false"/>
          <w:i w:val="false"/>
          <w:color w:val="000000"/>
          <w:sz w:val="22"/>
        </w:rPr>
        <w:t xml:space="preserve"> may be denied a consumable hemp registration for a period of up to 30 days for a first violation, up to one year for a second violation, and up to five years for a third or any subsequent violation.</w:t>
      </w:r>
    </w:p>
    <w:p>
      <w:pPr>
        <w:spacing w:before="0" w:after="0"/>
        <w:ind w:left="120"/>
        <w:jc w:val="both"/>
      </w:pPr>
      <w:r>
        <w:rPr>
          <w:rFonts w:ascii="Times New Roman" w:hAnsi="Times New Roman"/>
          <w:b/>
          <w:i w:val="false"/>
          <w:color w:val="000000"/>
          <w:sz w:val="22"/>
        </w:rPr>
        <w:t>156.8(2)</w:t>
      </w:r>
      <w:r>
        <w:rPr>
          <w:rFonts w:ascii="Times New Roman" w:hAnsi="Times New Roman"/>
          <w:b w:val="false"/>
          <w:i w:val="false"/>
          <w:color w:val="000000"/>
          <w:sz w:val="22"/>
        </w:rPr>
        <w:t> </w:t>
      </w:r>
      <w:r>
        <w:rPr>
          <w:rFonts w:ascii="Times New Roman" w:hAnsi="Times New Roman"/>
          <w:b w:val="false"/>
          <w:i w:val="false"/>
          <w:color w:val="000000"/>
          <w:sz w:val="22"/>
        </w:rPr>
        <w:t xml:space="preserve">Nonconforming consumable hemp product. A registered consumable hemp establishment that introduces a consumable hemp product into commerce that is not in conformance with Iowa Code chapter </w:t>
      </w:r>
      <w:hyperlink r:id="rId30">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or this chapter is subject to the immediate revocation of its registration.</w:t>
      </w:r>
    </w:p>
    <w:p>
      <w:pPr>
        <w:spacing w:before="0" w:after="0"/>
        <w:ind w:left="120"/>
        <w:jc w:val="both"/>
      </w:pPr>
      <w:r>
        <w:rPr>
          <w:rFonts w:ascii="Times New Roman" w:hAnsi="Times New Roman"/>
          <w:b/>
          <w:i w:val="false"/>
          <w:color w:val="000000"/>
          <w:sz w:val="22"/>
        </w:rPr>
        <w:t>156.8(3)</w:t>
      </w:r>
      <w:r>
        <w:rPr>
          <w:rFonts w:ascii="Times New Roman" w:hAnsi="Times New Roman"/>
          <w:b w:val="false"/>
          <w:i w:val="false"/>
          <w:color w:val="000000"/>
          <w:sz w:val="22"/>
        </w:rPr>
        <w:t> </w:t>
      </w:r>
      <w:r>
        <w:rPr>
          <w:rFonts w:ascii="Times New Roman" w:hAnsi="Times New Roman"/>
          <w:b w:val="false"/>
          <w:i w:val="false"/>
          <w:color w:val="000000"/>
          <w:sz w:val="22"/>
        </w:rPr>
        <w:t>Qualifying criminal offense.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conviction of any individual with an ownership interest in a consumable hemp establishment constituting a felony, serious misdemeanor, or aggravated misdemeanor and resulting from an activity constituting a criminal offense in the consumable hemp establishment may result in the denial, suspension, or revocation of the registration.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conviction for committing a criminal offense involving a controlled substance as described in Iowa Code section </w:t>
      </w:r>
      <w:hyperlink r:id="rId31">
        <w:r>
          <w:rPr>
            <w:rStyle w:val="Hyperlink"/>
            <w:rFonts w:ascii="Times New Roman" w:hAnsi="Times New Roman"/>
            <w:b w:val="false"/>
            <w:i w:val="false"/>
            <w:color w:val="000000"/>
            <w:sz w:val="22"/>
          </w:rPr>
          <w:t>204.7</w:t>
        </w:r>
      </w:hyperlink>
      <w:r>
        <w:rPr>
          <w:rFonts w:ascii="Times New Roman" w:hAnsi="Times New Roman"/>
          <w:b w:val="false"/>
          <w:i w:val="false"/>
          <w:color w:val="000000"/>
          <w:sz w:val="22"/>
        </w:rPr>
        <w:t xml:space="preserve"> may result in the denial, suspension, or revocation of the registration.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A certified copy of the final order or judgment of conviction or plea of guilty shall be conclusive evidence of the conviction of the registration holder.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A deferred judgment, until discharged, is considered a conviction for purposes of this rule.</w:t>
      </w:r>
    </w:p>
    <w:p>
      <w:pPr>
        <w:spacing w:before="0" w:after="0"/>
        <w:ind w:left="120"/>
        <w:jc w:val="both"/>
      </w:pPr>
      <w:r>
        <w:rPr>
          <w:rFonts w:ascii="Times New Roman" w:hAnsi="Times New Roman"/>
          <w:b/>
          <w:i w:val="false"/>
          <w:color w:val="000000"/>
          <w:sz w:val="22"/>
        </w:rPr>
        <w:t>156.8(4)</w:t>
      </w:r>
      <w:r>
        <w:rPr>
          <w:rFonts w:ascii="Times New Roman" w:hAnsi="Times New Roman"/>
          <w:b w:val="false"/>
          <w:i w:val="false"/>
          <w:color w:val="000000"/>
          <w:sz w:val="22"/>
        </w:rPr>
        <w:t> </w:t>
      </w:r>
      <w:r>
        <w:rPr>
          <w:rFonts w:ascii="Times New Roman" w:hAnsi="Times New Roman"/>
          <w:b w:val="false"/>
          <w:i w:val="false"/>
          <w:color w:val="000000"/>
          <w:sz w:val="22"/>
        </w:rPr>
        <w:t>False or misleading information. Providing false or misleading information to the department under this chapter, including by submitting a false registration, may result in the denial, suspension, or revocation of the registration.</w:t>
      </w:r>
    </w:p>
    <w:p>
      <w:pPr>
        <w:spacing w:before="0" w:after="0"/>
        <w:ind w:left="120"/>
        <w:jc w:val="both"/>
      </w:pPr>
      <w:r>
        <w:rPr>
          <w:rFonts w:ascii="Times New Roman" w:hAnsi="Times New Roman"/>
          <w:b/>
          <w:i w:val="false"/>
          <w:color w:val="000000"/>
          <w:sz w:val="22"/>
        </w:rPr>
        <w:t>156.8(5)</w:t>
      </w:r>
      <w:r>
        <w:rPr>
          <w:rFonts w:ascii="Times New Roman" w:hAnsi="Times New Roman"/>
          <w:b w:val="false"/>
          <w:i w:val="false"/>
          <w:color w:val="000000"/>
          <w:sz w:val="22"/>
        </w:rPr>
        <w:t> </w:t>
      </w:r>
      <w:r>
        <w:rPr>
          <w:rFonts w:ascii="Times New Roman" w:hAnsi="Times New Roman"/>
          <w:b w:val="false"/>
          <w:i w:val="false"/>
          <w:color w:val="000000"/>
          <w:sz w:val="22"/>
        </w:rPr>
        <w:t>Failure to comply. Failing to comply with an order issued by the department under this chapter may result in the denial, suspension, or revocation of the registration.</w:t>
      </w:r>
    </w:p>
    <w:p>
      <w:pPr>
        <w:spacing w:before="0" w:after="0"/>
        <w:ind w:left="120"/>
        <w:jc w:val="both"/>
      </w:pPr>
      <w:r>
        <w:rPr>
          <w:rFonts w:ascii="Times New Roman" w:hAnsi="Times New Roman"/>
          <w:b/>
          <w:i w:val="false"/>
          <w:color w:val="000000"/>
          <w:sz w:val="22"/>
        </w:rPr>
        <w:t>156.8(6)</w:t>
      </w:r>
      <w:r>
        <w:rPr>
          <w:rFonts w:ascii="Times New Roman" w:hAnsi="Times New Roman"/>
          <w:b w:val="false"/>
          <w:i w:val="false"/>
          <w:color w:val="000000"/>
          <w:sz w:val="22"/>
        </w:rPr>
        <w:t> </w:t>
      </w:r>
      <w:r>
        <w:rPr>
          <w:rFonts w:ascii="Times New Roman" w:hAnsi="Times New Roman"/>
          <w:b w:val="false"/>
          <w:i w:val="false"/>
          <w:color w:val="000000"/>
          <w:sz w:val="22"/>
        </w:rPr>
        <w:t>Successive violations. A third violation of any provision of this chapter in a five-year period will result in the denial, suspension, or revocation of the registration. The department will disapprove any registration of the consumable hemp establishment for a five-year period following the date of the last violation.</w:t>
      </w:r>
    </w:p>
    <w:p>
      <w:pPr>
        <w:spacing w:before="0" w:after="0"/>
        <w:ind w:left="120"/>
        <w:jc w:val="both"/>
      </w:pPr>
      <w:r>
        <w:rPr>
          <w:rFonts w:ascii="Times New Roman" w:hAnsi="Times New Roman"/>
          <w:b/>
          <w:i w:val="false"/>
          <w:color w:val="000000"/>
          <w:sz w:val="22"/>
        </w:rPr>
        <w:t>156.8(7)</w:t>
      </w:r>
      <w:r>
        <w:rPr>
          <w:rFonts w:ascii="Times New Roman" w:hAnsi="Times New Roman"/>
          <w:b w:val="false"/>
          <w:i w:val="false"/>
          <w:color w:val="000000"/>
          <w:sz w:val="22"/>
        </w:rPr>
        <w:t> </w:t>
      </w:r>
      <w:r>
        <w:rPr>
          <w:rFonts w:ascii="Times New Roman" w:hAnsi="Times New Roman"/>
          <w:b w:val="false"/>
          <w:i w:val="false"/>
          <w:color w:val="000000"/>
          <w:sz w:val="22"/>
        </w:rPr>
        <w:t>Materially false information supplied. An individual or entity that materially falsifies any information contained in a consumable hemp registration is ineligible for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641—156.9</w:t>
      </w:r>
      <w:r>
        <w:rPr>
          <w:rFonts w:ascii="Times New Roman" w:hAnsi="Times New Roman"/>
          <w:b/>
          <w:i w:val="false"/>
          <w:color w:val="000000"/>
          <w:sz w:val="22"/>
        </w:rPr>
        <w:t xml:space="preserve">(204) </w:t>
      </w:r>
      <w:r>
        <w:rPr>
          <w:rFonts w:ascii="Times New Roman" w:hAnsi="Times New Roman"/>
          <w:b/>
          <w:i w:val="false"/>
          <w:color w:val="000000"/>
          <w:sz w:val="22"/>
        </w:rPr>
        <w:t xml:space="preserve">Inspection and access to records. </w:t>
      </w:r>
      <w:r>
        <w:rPr>
          <w:rFonts w:ascii="Times New Roman" w:hAnsi="Times New Roman"/>
          <w:b w:val="false"/>
          <w:i w:val="false"/>
          <w:color w:val="000000"/>
          <w:sz w:val="22"/>
        </w:rPr>
        <w:t xml:space="preserve">The department may enter a consumable hemp establishment at any reasonable hour to assess compliance with Iowa Code chapter </w:t>
      </w:r>
      <w:hyperlink r:id="rId32">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and these rules. The manager or person in charge of the consumable hemp establishment will afford free access to every part of the premises, including access to records related to consumable hemp products, and render all aid and assistance necessary to enable the regulatory authority to make a thorough and complete assessment.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641—156.10</w:t>
      </w:r>
      <w:r>
        <w:rPr>
          <w:rFonts w:ascii="Times New Roman" w:hAnsi="Times New Roman"/>
          <w:b/>
          <w:i w:val="false"/>
          <w:color w:val="000000"/>
          <w:sz w:val="22"/>
        </w:rPr>
        <w:t xml:space="preserve">(204) </w:t>
      </w:r>
      <w:r>
        <w:rPr>
          <w:rFonts w:ascii="Times New Roman" w:hAnsi="Times New Roman"/>
          <w:b/>
          <w:i w:val="false"/>
          <w:color w:val="000000"/>
          <w:sz w:val="22"/>
        </w:rPr>
        <w:t xml:space="preserve">Public examination of records. </w:t>
      </w:r>
    </w:p>
    <w:p>
      <w:pPr>
        <w:spacing w:before="0" w:after="0"/>
        <w:ind w:left="120"/>
        <w:jc w:val="both"/>
      </w:pPr>
      <w:r>
        <w:rPr>
          <w:rFonts w:ascii="Times New Roman" w:hAnsi="Times New Roman"/>
          <w:b/>
          <w:i w:val="false"/>
          <w:color w:val="000000"/>
          <w:sz w:val="22"/>
        </w:rPr>
        <w:t>156.10(1)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Generally, information collected by the department and contractors is considered public information. Records are stored in computer files and are not matched with any other data system. Information is available for public review and will be provided when requested from the department.</w:t>
      </w:r>
    </w:p>
    <w:p>
      <w:pPr>
        <w:spacing w:before="0" w:after="0"/>
        <w:ind w:left="120"/>
        <w:jc w:val="both"/>
      </w:pPr>
      <w:r>
        <w:rPr>
          <w:rFonts w:ascii="Times New Roman" w:hAnsi="Times New Roman"/>
          <w:b/>
          <w:i w:val="false"/>
          <w:color w:val="000000"/>
          <w:sz w:val="22"/>
        </w:rPr>
        <w:t>156.10(2)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following are examples of confidential records: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Trade secrets and proprietary information including items such as formulations, processes, policies and procedures, and customer lists;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Health information related to foodborne illness complaints and outbreaks;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The name or any identifying information of a person who files a complaint with the department;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Other state or federal agencies’ records.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A party claiming that information submitted to the department contains trade secrets or proprietary information should clearly mark those portions of the submission as confidential/trade secret.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641—156.11</w:t>
      </w:r>
      <w:r>
        <w:rPr>
          <w:rFonts w:ascii="Times New Roman" w:hAnsi="Times New Roman"/>
          <w:b/>
          <w:i w:val="false"/>
          <w:color w:val="000000"/>
          <w:sz w:val="22"/>
        </w:rPr>
        <w:t xml:space="preserve">(204)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All decisions of the department may be contested by an adversely affected party in accordance with </w:t>
      </w:r>
      <w:hyperlink r:id="rId3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8178C</w:t>
      </w:r>
      <w:r>
        <w:rPr>
          <w:rFonts w:ascii="Times New Roman" w:hAnsi="Times New Roman"/>
          <w:b w:val="false"/>
          <w:i w:val="false"/>
          <w:color w:val="000000"/>
          <w:sz w:val="16"/>
        </w:rPr>
        <w:t>, IAB 8/7/24, effective 7/17/24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4">
        <w:r>
          <w:rPr>
            <w:rStyle w:val="Hyperlink"/>
            <w:rFonts w:ascii="Times New Roman" w:hAnsi="Times New Roman"/>
            <w:b w:val="false"/>
            <w:i w:val="false"/>
            <w:color w:val="000000"/>
            <w:sz w:val="22"/>
          </w:rPr>
          <w:t>124.506</w:t>
        </w:r>
      </w:hyperlink>
      <w:r>
        <w:rPr>
          <w:rFonts w:ascii="Times New Roman" w:hAnsi="Times New Roman"/>
          <w:b w:val="false"/>
          <w:i w:val="false"/>
          <w:color w:val="000000"/>
          <w:sz w:val="22"/>
        </w:rPr>
        <w:t xml:space="preserve"> and Iowa Code chapter </w:t>
      </w:r>
      <w:hyperlink r:id="rId35">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2024 Iowa Acts, House File 2605</w:t>
      </w:r>
      <w:r>
        <w:rPr>
          <w:rFonts w:ascii="Times New Roman" w:hAnsi="Times New Roman"/>
          <w:b w:val="false"/>
          <w:i w:val="false"/>
          <w:color w:val="000000"/>
          <w:sz w:val="22"/>
        </w:rPr>
        <w:t>.</w:t>
      </w:r>
    </w:p>
    <w:p>
      <w:pPr>
        <w:spacing w:before="0" w:after="0"/>
        <w:ind w:left="120"/>
        <w:jc w:val="center"/>
      </w:pPr>
    </w:p>
    <w:p>
      <w:pPr>
        <w:spacing w:before="0" w:after="0"/>
        <w:ind w:left="120"/>
        <w:jc w:val="center"/>
      </w:pPr>
      <w:r>
        <w:rPr>
          <w:rFonts w:ascii="Times New Roman" w:hAnsi="Times New Roman"/>
          <w:b w:val="false"/>
          <w:i w:val="false"/>
          <w:color w:val="000000"/>
          <w:sz w:val="21"/>
        </w:rPr>
        <w:t>[Filed ARC 5404C</w:t>
      </w:r>
      <w:r>
        <w:rPr>
          <w:rFonts w:ascii="Times New Roman" w:hAnsi="Times New Roman"/>
          <w:b w:val="false"/>
          <w:i w:val="false"/>
          <w:color w:val="000000"/>
          <w:sz w:val="21"/>
        </w:rPr>
        <w:t xml:space="preserve"> (Notice ARC 5265C, IAB 11/4/20)</w:t>
      </w:r>
      <w:r>
        <w:rPr>
          <w:rFonts w:ascii="Times New Roman" w:hAnsi="Times New Roman"/>
          <w:b w:val="false"/>
          <w:i w:val="false"/>
          <w:color w:val="000000"/>
          <w:sz w:val="21"/>
        </w:rPr>
        <w:t>, IAB 1/27/21, effective 3/3/21]</w:t>
      </w:r>
    </w:p>
    <w:p>
      <w:pPr>
        <w:spacing w:before="0" w:after="0"/>
        <w:ind w:left="120"/>
        <w:jc w:val="center"/>
      </w:pPr>
      <w:r>
        <w:rPr>
          <w:rFonts w:ascii="Times New Roman" w:hAnsi="Times New Roman"/>
          <w:b w:val="false"/>
          <w:i w:val="false"/>
          <w:color w:val="000000"/>
          <w:sz w:val="21"/>
        </w:rPr>
        <w:t>[Filed ARC 5671C</w:t>
      </w:r>
      <w:r>
        <w:rPr>
          <w:rFonts w:ascii="Times New Roman" w:hAnsi="Times New Roman"/>
          <w:b w:val="false"/>
          <w:i w:val="false"/>
          <w:color w:val="000000"/>
          <w:sz w:val="21"/>
        </w:rPr>
        <w:t xml:space="preserve"> (Notice ARC 5552C, IAB 4/7/21)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[Editorial change: IAC Supplement 6/14/23]</w:t>
      </w:r>
    </w:p>
    <w:p>
      <w:pPr>
        <w:spacing w:before="0" w:after="0"/>
        <w:ind w:left="120"/>
        <w:jc w:val="center"/>
      </w:pPr>
      <w:r>
        <w:rPr>
          <w:rFonts w:ascii="Times New Roman" w:hAnsi="Times New Roman"/>
          <w:b w:val="false"/>
          <w:i w:val="false"/>
          <w:color w:val="000000"/>
          <w:sz w:val="21"/>
        </w:rPr>
        <w:t>[Filed Emergency After Notice ARC 8178C</w:t>
      </w:r>
      <w:r>
        <w:rPr>
          <w:rFonts w:ascii="Times New Roman" w:hAnsi="Times New Roman"/>
          <w:b w:val="false"/>
          <w:i w:val="false"/>
          <w:color w:val="000000"/>
          <w:sz w:val="21"/>
        </w:rPr>
        <w:t xml:space="preserve"> (Notice ARC 8064C, IAB 6/12/24)</w:t>
      </w:r>
      <w:r>
        <w:rPr>
          <w:rFonts w:ascii="Times New Roman" w:hAnsi="Times New Roman"/>
          <w:b w:val="false"/>
          <w:i w:val="false"/>
          <w:color w:val="000000"/>
          <w:sz w:val="21"/>
        </w:rPr>
        <w:t>, IAB 8/7/24, effective 7/17/24]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04.pdf" Type="http://schemas.openxmlformats.org/officeDocument/2006/relationships/hyperlink" Id="rId4"/>
    <Relationship TargetMode="External" Target="https://www.legis.iowa.gov/docs/ico/chapter/204.pdf" Type="http://schemas.openxmlformats.org/officeDocument/2006/relationships/hyperlink" Id="rId5"/>
    <Relationship TargetMode="External" Target="https://www.legis.iowa.gov/docs/ico/chapter/137F.pdf" Type="http://schemas.openxmlformats.org/officeDocument/2006/relationships/hyperlink" Id="rId6"/>
    <Relationship TargetMode="External" Target="https://www.legis.iowa.gov/docs/ico/chapter/204.pdf" Type="http://schemas.openxmlformats.org/officeDocument/2006/relationships/hyperlink" Id="rId7"/>
    <Relationship TargetMode="External" Target="https://www.legis.iowa.gov/docs/ico/chapter/204.pdf" Type="http://schemas.openxmlformats.org/officeDocument/2006/relationships/hyperlink" Id="rId8"/>
    <Relationship TargetMode="External" Target="https://www.legis.iowa.gov/docs/iac/rule/641.156.7.pdf" Type="http://schemas.openxmlformats.org/officeDocument/2006/relationships/hyperlink" Id="rId9"/>
    <Relationship TargetMode="External" Target="https://www.legis.iowa.gov/docs/ico/chapter/204.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04.pdf" Type="http://schemas.openxmlformats.org/officeDocument/2006/relationships/hyperlink" Id="rId12"/>
    <Relationship TargetMode="External" Target="https://www.legis.iowa.gov/docs/ico/chapter/204.pdf" Type="http://schemas.openxmlformats.org/officeDocument/2006/relationships/hyperlink" Id="rId13"/>
    <Relationship TargetMode="External" Target="https://www.legis.iowa.gov/docs/iac/rule/641.156.4.pdf" Type="http://schemas.openxmlformats.org/officeDocument/2006/relationships/hyperlink" Id="rId14"/>
    <Relationship TargetMode="External" Target="https://www.legis.iowa.gov/docs/ico/chapter/137F.pdf" Type="http://schemas.openxmlformats.org/officeDocument/2006/relationships/hyperlink" Id="rId15"/>
    <Relationship TargetMode="External" Target="https://www.legis.iowa.gov/docs/ico/chapter/137D.pdf" Type="http://schemas.openxmlformats.org/officeDocument/2006/relationships/hyperlink" Id="rId16"/>
    <Relationship TargetMode="External" Target="https://www.legis.iowa.gov/docs/ico/chapter/123.pdf" Type="http://schemas.openxmlformats.org/officeDocument/2006/relationships/hyperlink" Id="rId17"/>
    <Relationship TargetMode="External" Target="https://www.legis.iowa.gov/docs/ico/chapter/123.pdf" Type="http://schemas.openxmlformats.org/officeDocument/2006/relationships/hyperlink" Id="rId18"/>
    <Relationship TargetMode="External" Target="https://www.legis.iowa.gov/docs/ico/chapter/189A.pdf" Type="http://schemas.openxmlformats.org/officeDocument/2006/relationships/hyperlink" Id="rId19"/>
    <Relationship TargetMode="External" Target="https://www.legis.iowa.gov/docs/ico/chapter/189A.pdf" Type="http://schemas.openxmlformats.org/officeDocument/2006/relationships/hyperlink" Id="rId20"/>
    <Relationship TargetMode="External" Target="https://www.legis.iowa.gov/docs/ico/chapter/190.pdf" Type="http://schemas.openxmlformats.org/officeDocument/2006/relationships/hyperlink" Id="rId21"/>
    <Relationship TargetMode="External" Target="https://www.legis.iowa.gov/docs/ico/chapter/192.pdf" Type="http://schemas.openxmlformats.org/officeDocument/2006/relationships/hyperlink" Id="rId22"/>
    <Relationship TargetMode="External" Target="https://www.legis.iowa.gov/docs/ico/chapter/190.pdf" Type="http://schemas.openxmlformats.org/officeDocument/2006/relationships/hyperlink" Id="rId23"/>
    <Relationship TargetMode="External" Target="https://www.legis.iowa.gov/docs/ico/chapter/192.pdf" Type="http://schemas.openxmlformats.org/officeDocument/2006/relationships/hyperlink" Id="rId24"/>
    <Relationship TargetMode="External" Target="https://www.legis.iowa.gov/docs/ico/chapter/204.pdf" Type="http://schemas.openxmlformats.org/officeDocument/2006/relationships/hyperlink" Id="rId25"/>
    <Relationship TargetMode="External" Target="https://www.legis.iowa.gov/docs/iac/rule/641.156.4.pdf" Type="http://schemas.openxmlformats.org/officeDocument/2006/relationships/hyperlink" Id="rId26"/>
    <Relationship TargetMode="External" Target="https://www.legis.iowa.gov/docs/iac/rule/641.156.2.pdf" Type="http://schemas.openxmlformats.org/officeDocument/2006/relationships/hyperlink" Id="rId27"/>
    <Relationship TargetMode="External" Target="https://www.legis.iowa.gov/docs/iac/rule/641.156.8.pdf" Type="http://schemas.openxmlformats.org/officeDocument/2006/relationships/hyperlink" Id="rId28"/>
    <Relationship TargetMode="External" Target="https://www.legis.iowa.gov/docs/iac/rule/641.156.2.pdf" Type="http://schemas.openxmlformats.org/officeDocument/2006/relationships/hyperlink" Id="rId29"/>
    <Relationship TargetMode="External" Target="https://www.legis.iowa.gov/docs/ico/chapter/204.pdf" Type="http://schemas.openxmlformats.org/officeDocument/2006/relationships/hyperlink" Id="rId30"/>
    <Relationship TargetMode="External" Target="https://www.legis.iowa.gov/docs/ico/chapter/204.pdf" Type="http://schemas.openxmlformats.org/officeDocument/2006/relationships/hyperlink" Id="rId31"/>
    <Relationship TargetMode="External" Target="https://www.legis.iowa.gov/docs/ico/chapter/204.pdf" Type="http://schemas.openxmlformats.org/officeDocument/2006/relationships/hyperlink" Id="rId32"/>
    <Relationship TargetMode="External" Target="https://www.legis.iowa.gov/docs/iac/chapter/441.7.pdf" Type="http://schemas.openxmlformats.org/officeDocument/2006/relationships/hyperlink" Id="rId33"/>
    <Relationship TargetMode="External" Target="https://www.legis.iowa.gov/docs/ico/chapter/124.pdf" Type="http://schemas.openxmlformats.org/officeDocument/2006/relationships/hyperlink" Id="rId34"/>
    <Relationship TargetMode="External" Target="https://www.legis.iowa.gov/docs/ico/chapter/204.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