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154</w:t>
      </w:r>
    </w:p>
    <w:p>
      <w:pPr>
        <w:spacing w:before="0" w:after="0"/>
        <w:ind w:left="120"/>
        <w:jc w:val="center"/>
      </w:pPr>
      <w:r>
        <w:rPr>
          <w:rFonts w:ascii="Times New Roman" w:hAnsi="Times New Roman"/>
          <w:b w:val="false"/>
          <w:i w:val="false"/>
          <w:color w:val="000000"/>
          <w:sz w:val="21"/>
        </w:rPr>
        <w:t>MEDICAL CANNABIDIOL PROGRAM</w:t>
      </w:r>
    </w:p>
    <w:p>
      <w:pPr>
        <w:spacing w:before="0" w:after="0"/>
        <w:ind w:left="120"/>
        <w:jc w:val="both"/>
      </w:pPr>
      <w:r>
        <w:rPr>
          <w:rFonts w:ascii="Times New Roman" w:hAnsi="Times New Roman"/>
          <w:b/>
          <w:i w:val="false"/>
          <w:color w:val="000000"/>
          <w:sz w:val="22"/>
        </w:rPr>
        <w:t>641—154.1</w:t>
      </w:r>
      <w:r>
        <w:rPr>
          <w:rFonts w:ascii="Times New Roman" w:hAnsi="Times New Roman"/>
          <w:b/>
          <w:i w:val="false"/>
          <w:color w:val="000000"/>
          <w:sz w:val="22"/>
        </w:rPr>
        <w:t xml:space="preserve">(124E)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color w:val="000000"/>
          <w:sz w:val="22"/>
        </w:rPr>
        <w:t xml:space="preserve">“Acceptance criteria” </w:t>
      </w:r>
      <w:r>
        <w:rPr>
          <w:rFonts w:ascii="Times New Roman" w:hAnsi="Times New Roman"/>
          <w:b w:val="false"/>
          <w:i w:val="false"/>
          <w:color w:val="000000"/>
          <w:sz w:val="22"/>
        </w:rPr>
        <w:t>means the specified limits placed on characteristics of an item or method that are used to determine data quality.</w:t>
      </w:r>
    </w:p>
    <w:p>
      <w:pPr>
        <w:spacing w:before="0" w:after="0"/>
        <w:ind w:left="120"/>
        <w:jc w:val="both"/>
      </w:pPr>
      <w:r>
        <w:rPr>
          <w:rFonts w:ascii="Times New Roman" w:hAnsi="Times New Roman"/>
          <w:b w:val="false"/>
          <w:i/>
          <w:color w:val="000000"/>
          <w:sz w:val="22"/>
        </w:rPr>
        <w:t xml:space="preserve">“Action level” </w:t>
      </w:r>
      <w:r>
        <w:rPr>
          <w:rFonts w:ascii="Times New Roman" w:hAnsi="Times New Roman"/>
          <w:b w:val="false"/>
          <w:i w:val="false"/>
          <w:color w:val="000000"/>
          <w:sz w:val="22"/>
        </w:rPr>
        <w:t>means the threshold value that provides the criterion for determining whether a sample passes or fails a test performed pursuant to these rules.</w:t>
      </w:r>
    </w:p>
    <w:p>
      <w:pPr>
        <w:spacing w:before="0" w:after="0"/>
        <w:ind w:left="120"/>
        <w:jc w:val="both"/>
      </w:pPr>
      <w:r>
        <w:rPr>
          <w:rFonts w:ascii="Times New Roman" w:hAnsi="Times New Roman"/>
          <w:b w:val="false"/>
          <w:i/>
          <w:color w:val="000000"/>
          <w:sz w:val="22"/>
        </w:rPr>
        <w:t xml:space="preserve">“Advertisement” </w:t>
      </w:r>
      <w:r>
        <w:rPr>
          <w:rFonts w:ascii="Times New Roman" w:hAnsi="Times New Roman"/>
          <w:b w:val="false"/>
          <w:i w:val="false"/>
          <w:color w:val="000000"/>
          <w:sz w:val="22"/>
        </w:rPr>
        <w:t>means all representations disseminated in any manner or by any means, other than by labeling, for the purpose of inducing, or that are likely to induce, directly or indirectly, the purchase of medical cannabidiol.</w:t>
      </w:r>
    </w:p>
    <w:p>
      <w:pPr>
        <w:spacing w:before="0" w:after="0"/>
        <w:ind w:left="120"/>
        <w:jc w:val="both"/>
      </w:pPr>
      <w:r>
        <w:rPr>
          <w:rFonts w:ascii="Times New Roman" w:hAnsi="Times New Roman"/>
          <w:b w:val="false"/>
          <w:i/>
          <w:color w:val="000000"/>
          <w:sz w:val="22"/>
        </w:rPr>
        <w:t xml:space="preserve">“Analyte” </w:t>
      </w:r>
      <w:r>
        <w:rPr>
          <w:rFonts w:ascii="Times New Roman" w:hAnsi="Times New Roman"/>
          <w:b w:val="false"/>
          <w:i w:val="false"/>
          <w:color w:val="000000"/>
          <w:sz w:val="22"/>
        </w:rPr>
        <w:t>means a chemical, compound, element, bacteria, yeast, fungus, or toxin to be identified or measured.</w:t>
      </w:r>
    </w:p>
    <w:p>
      <w:pPr>
        <w:spacing w:before="0" w:after="0"/>
        <w:ind w:left="120"/>
        <w:jc w:val="both"/>
      </w:pPr>
      <w:r>
        <w:rPr>
          <w:rFonts w:ascii="Times New Roman" w:hAnsi="Times New Roman"/>
          <w:b w:val="false"/>
          <w:i/>
          <w:color w:val="000000"/>
          <w:sz w:val="22"/>
        </w:rPr>
        <w:t xml:space="preserve">“Analytical batch” </w:t>
      </w:r>
      <w:r>
        <w:rPr>
          <w:rFonts w:ascii="Times New Roman" w:hAnsi="Times New Roman"/>
          <w:b w:val="false"/>
          <w:i w:val="false"/>
          <w:color w:val="000000"/>
          <w:sz w:val="22"/>
        </w:rPr>
        <w:t>means a group of samples that are prepared together for the same analysis and analyzed sequentially using the same instrument calibration curve and common analytical quality control checks.</w:t>
      </w:r>
    </w:p>
    <w:p>
      <w:pPr>
        <w:spacing w:before="0" w:after="0"/>
        <w:ind w:left="120"/>
        <w:jc w:val="both"/>
      </w:pPr>
      <w:r>
        <w:rPr>
          <w:rFonts w:ascii="Times New Roman" w:hAnsi="Times New Roman"/>
          <w:b w:val="false"/>
          <w:i/>
          <w:color w:val="000000"/>
          <w:sz w:val="22"/>
        </w:rPr>
        <w:t xml:space="preserve">“Analytical method” </w:t>
      </w:r>
      <w:r>
        <w:rPr>
          <w:rFonts w:ascii="Times New Roman" w:hAnsi="Times New Roman"/>
          <w:b w:val="false"/>
          <w:i w:val="false"/>
          <w:color w:val="000000"/>
          <w:sz w:val="22"/>
        </w:rPr>
        <w:t>means a technique used qualitatively or quantitatively to determine the composition of a sample or a microbial contamination of a sample.</w:t>
      </w:r>
    </w:p>
    <w:p>
      <w:pPr>
        <w:spacing w:before="0" w:after="0"/>
        <w:ind w:left="120"/>
        <w:jc w:val="both"/>
      </w:pPr>
      <w:r>
        <w:rPr>
          <w:rFonts w:ascii="Times New Roman" w:hAnsi="Times New Roman"/>
          <w:b w:val="false"/>
          <w:i/>
          <w:color w:val="000000"/>
          <w:sz w:val="22"/>
        </w:rPr>
        <w:t xml:space="preserve">“Audit” </w:t>
      </w:r>
      <w:r>
        <w:rPr>
          <w:rFonts w:ascii="Times New Roman" w:hAnsi="Times New Roman"/>
          <w:b w:val="false"/>
          <w:i w:val="false"/>
          <w:color w:val="000000"/>
          <w:sz w:val="22"/>
        </w:rPr>
        <w:t>means a review by authorized personnel that includes select scope engagement or other methods of review that analyze operational or compliance issues.</w:t>
      </w:r>
    </w:p>
    <w:p>
      <w:pPr>
        <w:spacing w:before="0" w:after="0"/>
        <w:ind w:left="120"/>
        <w:jc w:val="both"/>
      </w:pPr>
      <w:r>
        <w:rPr>
          <w:rFonts w:ascii="Times New Roman" w:hAnsi="Times New Roman"/>
          <w:b w:val="false"/>
          <w:i/>
          <w:color w:val="000000"/>
          <w:sz w:val="22"/>
        </w:rPr>
        <w:t xml:space="preserve">“Background investigation” </w:t>
      </w:r>
      <w:r>
        <w:rPr>
          <w:rFonts w:ascii="Times New Roman" w:hAnsi="Times New Roman"/>
          <w:b w:val="false"/>
          <w:i w:val="false"/>
          <w:color w:val="000000"/>
          <w:sz w:val="22"/>
        </w:rPr>
        <w:t>means a thorough review of an entity, an owner, investors, and employees conducted by the department of public safety, including but not limited to state and national criminal history records, credit records, and internal revenue service records.</w:t>
      </w:r>
    </w:p>
    <w:p>
      <w:pPr>
        <w:spacing w:before="0" w:after="0"/>
        <w:ind w:left="120"/>
        <w:jc w:val="both"/>
      </w:pPr>
      <w:r>
        <w:rPr>
          <w:rFonts w:ascii="Times New Roman" w:hAnsi="Times New Roman"/>
          <w:b w:val="false"/>
          <w:i/>
          <w:color w:val="000000"/>
          <w:sz w:val="22"/>
        </w:rPr>
        <w:t xml:space="preserve">“Batch” </w:t>
      </w:r>
      <w:r>
        <w:rPr>
          <w:rFonts w:ascii="Times New Roman" w:hAnsi="Times New Roman"/>
          <w:b w:val="false"/>
          <w:i w:val="false"/>
          <w:color w:val="000000"/>
          <w:sz w:val="22"/>
        </w:rPr>
        <w:t>means a specifically identified quantity of dried flower and other cannabis plant matter that is uniform in strain or cultivar, harvested at the same time, and cultivated using the same pesticides and other crop inputs.</w:t>
      </w:r>
    </w:p>
    <w:p>
      <w:pPr>
        <w:spacing w:before="0" w:after="0"/>
        <w:ind w:left="120"/>
        <w:jc w:val="both"/>
      </w:pPr>
      <w:r>
        <w:rPr>
          <w:rFonts w:ascii="Times New Roman" w:hAnsi="Times New Roman"/>
          <w:b w:val="false"/>
          <w:i/>
          <w:color w:val="000000"/>
          <w:sz w:val="22"/>
        </w:rPr>
        <w:t xml:space="preserve">“Biosecurity” </w:t>
      </w:r>
      <w:r>
        <w:rPr>
          <w:rFonts w:ascii="Times New Roman" w:hAnsi="Times New Roman"/>
          <w:b w:val="false"/>
          <w:i w:val="false"/>
          <w:color w:val="000000"/>
          <w:sz w:val="22"/>
        </w:rPr>
        <w:t>means a set of preventative measures designed to reduce the risk of transmission of:</w:t>
      </w:r>
    </w:p>
    <w:p>
      <w:pPr>
        <w:numPr>
          <w:ilvl w:val="0"/>
          <w:numId w:val="3"/>
        </w:numPr>
        <w:spacing w:before="0" w:after="0"/>
        <w:jc w:val="both"/>
      </w:pPr>
      <w:r>
        <w:rPr>
          <w:rFonts w:ascii="Times New Roman" w:hAnsi="Times New Roman"/>
          <w:b w:val="false"/>
          <w:i w:val="false"/>
          <w:color w:val="000000"/>
          <w:sz w:val="22"/>
        </w:rPr>
        <w:t>Infectious diseases in crops;</w:t>
      </w:r>
    </w:p>
    <w:p>
      <w:pPr>
        <w:numPr>
          <w:ilvl w:val="0"/>
          <w:numId w:val="3"/>
        </w:numPr>
        <w:spacing w:before="0" w:after="0"/>
        <w:jc w:val="both"/>
      </w:pPr>
      <w:r>
        <w:rPr>
          <w:rFonts w:ascii="Times New Roman" w:hAnsi="Times New Roman"/>
          <w:b w:val="false"/>
          <w:i w:val="false"/>
          <w:color w:val="000000"/>
          <w:sz w:val="22"/>
        </w:rPr>
        <w:t>Quarantined pests;</w:t>
      </w:r>
    </w:p>
    <w:p>
      <w:pPr>
        <w:numPr>
          <w:ilvl w:val="0"/>
          <w:numId w:val="3"/>
        </w:numPr>
        <w:spacing w:before="0" w:after="0"/>
        <w:jc w:val="both"/>
      </w:pPr>
      <w:r>
        <w:rPr>
          <w:rFonts w:ascii="Times New Roman" w:hAnsi="Times New Roman"/>
          <w:b w:val="false"/>
          <w:i w:val="false"/>
          <w:color w:val="000000"/>
          <w:sz w:val="22"/>
        </w:rPr>
        <w:t>Invasive alien species;</w:t>
      </w:r>
    </w:p>
    <w:p>
      <w:pPr>
        <w:numPr>
          <w:ilvl w:val="0"/>
          <w:numId w:val="3"/>
        </w:numPr>
        <w:spacing w:before="0" w:after="0"/>
        <w:jc w:val="both"/>
      </w:pPr>
      <w:r>
        <w:rPr>
          <w:rFonts w:ascii="Times New Roman" w:hAnsi="Times New Roman"/>
          <w:b w:val="false"/>
          <w:i w:val="false"/>
          <w:color w:val="000000"/>
          <w:sz w:val="22"/>
        </w:rPr>
        <w:t>Living modified organisms.</w:t>
      </w:r>
    </w:p>
    <w:p>
      <w:pPr>
        <w:spacing w:before="0" w:after="0"/>
        <w:ind w:left="120"/>
        <w:jc w:val="both"/>
      </w:pPr>
      <w:r>
        <w:rPr>
          <w:rFonts w:ascii="Times New Roman" w:hAnsi="Times New Roman"/>
          <w:b w:val="false"/>
          <w:i/>
          <w:color w:val="000000"/>
          <w:sz w:val="22"/>
        </w:rPr>
        <w:t xml:space="preserve">“Cannabinoid” </w:t>
      </w:r>
      <w:r>
        <w:rPr>
          <w:rFonts w:ascii="Times New Roman" w:hAnsi="Times New Roman"/>
          <w:b w:val="false"/>
          <w:i w:val="false"/>
          <w:color w:val="000000"/>
          <w:sz w:val="22"/>
        </w:rPr>
        <w:t>means a chemical compound that is unique to and derived from cannabis.</w:t>
      </w:r>
    </w:p>
    <w:p>
      <w:pPr>
        <w:spacing w:before="0" w:after="0"/>
        <w:ind w:left="120"/>
        <w:jc w:val="both"/>
      </w:pPr>
      <w:r>
        <w:rPr>
          <w:rFonts w:ascii="Times New Roman" w:hAnsi="Times New Roman"/>
          <w:b w:val="false"/>
          <w:i/>
          <w:color w:val="000000"/>
          <w:sz w:val="22"/>
        </w:rPr>
        <w:t xml:space="preserve">“Cannabis” </w:t>
      </w:r>
      <w:r>
        <w:rPr>
          <w:rFonts w:ascii="Times New Roman" w:hAnsi="Times New Roman"/>
          <w:b w:val="false"/>
          <w:i w:val="false"/>
          <w:color w:val="000000"/>
          <w:sz w:val="22"/>
        </w:rPr>
        <w:t xml:space="preserve">means seeds, plants, cuttings, or plant waste material from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used in the manufacture of medical cannabidiol.</w:t>
      </w:r>
    </w:p>
    <w:p>
      <w:pPr>
        <w:spacing w:before="0" w:after="0"/>
        <w:ind w:left="120"/>
        <w:jc w:val="both"/>
      </w:pPr>
      <w:r>
        <w:rPr>
          <w:rFonts w:ascii="Times New Roman" w:hAnsi="Times New Roman"/>
          <w:b w:val="false"/>
          <w:i/>
          <w:color w:val="000000"/>
          <w:sz w:val="22"/>
        </w:rPr>
        <w:t xml:space="preserve">“CBD” </w:t>
      </w:r>
      <w:r>
        <w:rPr>
          <w:rFonts w:ascii="Times New Roman" w:hAnsi="Times New Roman"/>
          <w:b w:val="false"/>
          <w:i w:val="false"/>
          <w:color w:val="000000"/>
          <w:sz w:val="22"/>
        </w:rPr>
        <w:t>means cannabidiol, Chemical Abstracts Service number 13956-29-1.</w:t>
      </w:r>
    </w:p>
    <w:p>
      <w:pPr>
        <w:spacing w:before="0" w:after="0"/>
        <w:ind w:left="120"/>
        <w:jc w:val="both"/>
      </w:pPr>
      <w:r>
        <w:rPr>
          <w:rFonts w:ascii="Times New Roman" w:hAnsi="Times New Roman"/>
          <w:b w:val="false"/>
          <w:i/>
          <w:color w:val="000000"/>
          <w:sz w:val="22"/>
        </w:rPr>
        <w:t xml:space="preserve">“CBDA” </w:t>
      </w:r>
      <w:r>
        <w:rPr>
          <w:rFonts w:ascii="Times New Roman" w:hAnsi="Times New Roman"/>
          <w:b w:val="false"/>
          <w:i w:val="false"/>
          <w:color w:val="000000"/>
          <w:sz w:val="22"/>
        </w:rPr>
        <w:t>means cannabidiolic acid, Chemical Abstracts Service number 1244-58-2.</w:t>
      </w:r>
    </w:p>
    <w:p>
      <w:pPr>
        <w:spacing w:before="0" w:after="0"/>
        <w:ind w:left="120"/>
        <w:jc w:val="both"/>
      </w:pPr>
      <w:r>
        <w:rPr>
          <w:rFonts w:ascii="Times New Roman" w:hAnsi="Times New Roman"/>
          <w:b w:val="false"/>
          <w:i/>
          <w:color w:val="000000"/>
          <w:sz w:val="22"/>
        </w:rPr>
        <w:t xml:space="preserve">“Certificate of analysis” </w:t>
      </w:r>
      <w:r>
        <w:rPr>
          <w:rFonts w:ascii="Times New Roman" w:hAnsi="Times New Roman"/>
          <w:b w:val="false"/>
          <w:i w:val="false"/>
          <w:color w:val="000000"/>
          <w:sz w:val="22"/>
        </w:rPr>
        <w:t>means the report prepared for the requester about the analytical testing performed and the results obtained by a laboratory.</w:t>
      </w:r>
    </w:p>
    <w:p>
      <w:pPr>
        <w:spacing w:before="0" w:after="0"/>
        <w:ind w:left="120"/>
        <w:jc w:val="both"/>
      </w:pPr>
      <w:r>
        <w:rPr>
          <w:rFonts w:ascii="Times New Roman" w:hAnsi="Times New Roman"/>
          <w:b w:val="false"/>
          <w:i/>
          <w:color w:val="000000"/>
          <w:sz w:val="22"/>
        </w:rPr>
        <w:t xml:space="preserve">“Certified” </w:t>
      </w:r>
      <w:r>
        <w:rPr>
          <w:rFonts w:ascii="Times New Roman" w:hAnsi="Times New Roman"/>
          <w:b w:val="false"/>
          <w:i w:val="false"/>
          <w:color w:val="000000"/>
          <w:sz w:val="22"/>
        </w:rPr>
        <w:t>means that a laboratory demonstrates to the satisfaction of the department its ability to consistently produce valid data within the acceptance limits as specified in the department’s requirements for certification and meets the minimum requirements of this chapter and all applicable regulatory requirements.</w:t>
      </w:r>
    </w:p>
    <w:p>
      <w:pPr>
        <w:spacing w:before="0" w:after="0"/>
        <w:ind w:left="120"/>
        <w:jc w:val="both"/>
      </w:pPr>
      <w:r>
        <w:rPr>
          <w:rFonts w:ascii="Times New Roman" w:hAnsi="Times New Roman"/>
          <w:b w:val="false"/>
          <w:i/>
          <w:color w:val="000000"/>
          <w:sz w:val="22"/>
        </w:rPr>
        <w:t xml:space="preserve">“Certified reference material” </w:t>
      </w:r>
      <w:r>
        <w:rPr>
          <w:rFonts w:ascii="Times New Roman" w:hAnsi="Times New Roman"/>
          <w:b w:val="false"/>
          <w:i w:val="false"/>
          <w:color w:val="000000"/>
          <w:sz w:val="22"/>
        </w:rPr>
        <w:t>means a reference material prepared by a certifying body.</w:t>
      </w:r>
    </w:p>
    <w:p>
      <w:pPr>
        <w:spacing w:before="0" w:after="0"/>
        <w:ind w:left="120"/>
        <w:jc w:val="both"/>
      </w:pPr>
      <w:r>
        <w:rPr>
          <w:rFonts w:ascii="Times New Roman" w:hAnsi="Times New Roman"/>
          <w:b w:val="false"/>
          <w:i/>
          <w:color w:val="000000"/>
          <w:sz w:val="22"/>
        </w:rPr>
        <w:t xml:space="preserve">“Combusted” </w:t>
      </w:r>
      <w:r>
        <w:rPr>
          <w:rFonts w:ascii="Times New Roman" w:hAnsi="Times New Roman"/>
          <w:b w:val="false"/>
          <w:i w:val="false"/>
          <w:color w:val="000000"/>
          <w:sz w:val="22"/>
        </w:rPr>
        <w:t>means the addition of a flame to medical cannabidiol or raw flower cannabis for the purposes of burning for inhalation, or smoking cannabis.</w:t>
      </w:r>
    </w:p>
    <w:p>
      <w:pPr>
        <w:spacing w:before="0" w:after="0"/>
        <w:ind w:left="120"/>
        <w:jc w:val="both"/>
      </w:pPr>
      <w:r>
        <w:rPr>
          <w:rFonts w:ascii="Times New Roman" w:hAnsi="Times New Roman"/>
          <w:b w:val="false"/>
          <w:i/>
          <w:color w:val="000000"/>
          <w:sz w:val="22"/>
        </w:rPr>
        <w:t xml:space="preserve">“Consumable hemp product” </w:t>
      </w:r>
      <w:r>
        <w:rPr>
          <w:rFonts w:ascii="Times New Roman" w:hAnsi="Times New Roman"/>
          <w:b w:val="false"/>
          <w:i w:val="false"/>
          <w:color w:val="000000"/>
          <w:sz w:val="22"/>
        </w:rPr>
        <w:t xml:space="preserve">means a hemp product that includes a substance that is metabolized or is otherwise subject to a biotransformative process when introduced into the human body. </w:t>
      </w:r>
    </w:p>
    <w:p>
      <w:pPr>
        <w:numPr>
          <w:ilvl w:val="0"/>
          <w:numId w:val="4"/>
        </w:numPr>
        <w:spacing w:before="0" w:after="0"/>
        <w:jc w:val="both"/>
      </w:pPr>
      <w:r>
        <w:rPr>
          <w:rFonts w:ascii="Times New Roman" w:hAnsi="Times New Roman"/>
          <w:b w:val="false"/>
          <w:i w:val="false"/>
          <w:color w:val="000000"/>
          <w:sz w:val="22"/>
        </w:rPr>
        <w:t>A consumable hemp product may be introduced into the human body by ingestion or absorption by any device including but not limited to an electronic device.</w:t>
      </w:r>
    </w:p>
    <w:p>
      <w:pPr>
        <w:numPr>
          <w:ilvl w:val="0"/>
          <w:numId w:val="4"/>
        </w:numPr>
        <w:spacing w:before="0" w:after="0"/>
        <w:jc w:val="both"/>
      </w:pPr>
      <w:r>
        <w:rPr>
          <w:rFonts w:ascii="Times New Roman" w:hAnsi="Times New Roman"/>
          <w:b w:val="false"/>
          <w:i w:val="false"/>
          <w:color w:val="000000"/>
          <w:sz w:val="22"/>
        </w:rPr>
        <w:t xml:space="preserve">A consumable hemp product may exist in a solid or liquid state. </w:t>
      </w:r>
    </w:p>
    <w:p>
      <w:pPr>
        <w:numPr>
          <w:ilvl w:val="0"/>
          <w:numId w:val="4"/>
        </w:numPr>
        <w:spacing w:before="0" w:after="0"/>
        <w:jc w:val="both"/>
      </w:pPr>
      <w:r>
        <w:rPr>
          <w:rFonts w:ascii="Times New Roman" w:hAnsi="Times New Roman"/>
          <w:b w:val="false"/>
          <w:i w:val="false"/>
          <w:color w:val="000000"/>
          <w:sz w:val="22"/>
        </w:rPr>
        <w:t xml:space="preserve">A hemp product is deemed to be a consumable hemp product if it is any of the following: </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 xml:space="preserve">Designed by the processor, including the manufacturer, to be introduced into the human body. </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 xml:space="preserve">Advertised as an item to be introduced into the human body. </w:t>
      </w:r>
    </w:p>
    <w:p>
      <w:pPr>
        <w:numPr>
          <w:ilvl w:val="1"/>
          <w:numId w:val="4"/>
        </w:numPr>
        <w:spacing w:before="0" w:after="0"/>
        <w:jc w:val="both"/>
      </w:pPr>
    </w:p>
    <w:p>
      <w:pPr>
        <w:spacing w:before="0" w:after="0"/>
        <w:ind w:left="360"/>
        <w:jc w:val="both"/>
      </w:pPr>
      <w:r>
        <w:rPr>
          <w:rFonts w:ascii="Times New Roman" w:hAnsi="Times New Roman"/>
          <w:b w:val="false"/>
          <w:i w:val="false"/>
          <w:color w:val="000000"/>
          <w:sz w:val="22"/>
        </w:rPr>
        <w:t xml:space="preserve">Distributed, exported, or imported for sale or distribution to be introduced into the human body. </w:t>
      </w:r>
    </w:p>
    <w:p>
      <w:pPr>
        <w:spacing w:before="0" w:after="0"/>
        <w:ind w:left="120"/>
        <w:jc w:val="both"/>
      </w:pPr>
      <w:r>
        <w:rPr>
          <w:rFonts w:ascii="Times New Roman" w:hAnsi="Times New Roman"/>
          <w:b w:val="false"/>
          <w:i w:val="false"/>
          <w:color w:val="000000"/>
          <w:sz w:val="22"/>
        </w:rPr>
        <w:t xml:space="preserve">“Consumable hemp product” includes but is not limited to any of the following: </w:t>
      </w:r>
    </w:p>
    <w:p>
      <w:pPr>
        <w:numPr>
          <w:ilvl w:val="0"/>
          <w:numId w:val="5"/>
        </w:numPr>
        <w:spacing w:before="0" w:after="0"/>
        <w:jc w:val="both"/>
      </w:pPr>
      <w:r>
        <w:rPr>
          <w:rFonts w:ascii="Times New Roman" w:hAnsi="Times New Roman"/>
          <w:b w:val="false"/>
          <w:i w:val="false"/>
          <w:color w:val="000000"/>
          <w:sz w:val="22"/>
        </w:rPr>
        <w:t>A noncombustible form of hemp that may be digested, such as food; internally absorbed, such as chew or snuff; or absorbed through the skin, such as a topical application.</w:t>
      </w:r>
    </w:p>
    <w:p>
      <w:pPr>
        <w:numPr>
          <w:ilvl w:val="0"/>
          <w:numId w:val="5"/>
        </w:numPr>
        <w:spacing w:before="0" w:after="0"/>
        <w:jc w:val="both"/>
      </w:pPr>
      <w:r>
        <w:rPr>
          <w:rFonts w:ascii="Times New Roman" w:hAnsi="Times New Roman"/>
          <w:b w:val="false"/>
          <w:i w:val="false"/>
          <w:color w:val="000000"/>
          <w:sz w:val="22"/>
        </w:rPr>
        <w:t xml:space="preserve">Hemp processed or otherwise manufactured, marketed, sold, or distributed as food, a food additive, a dietary supplement, or a drug. </w:t>
      </w:r>
    </w:p>
    <w:p>
      <w:pPr>
        <w:spacing w:before="0" w:after="0"/>
        <w:ind w:left="120"/>
        <w:jc w:val="both"/>
      </w:pPr>
      <w:r>
        <w:rPr>
          <w:rFonts w:ascii="Times New Roman" w:hAnsi="Times New Roman"/>
          <w:b w:val="false"/>
          <w:i w:val="false"/>
          <w:color w:val="000000"/>
          <w:sz w:val="22"/>
        </w:rPr>
        <w:t xml:space="preserve">“Consumable hemp product” does not include a hemp product if the intended use of the hemp product is introduced into the human body by any method of inhalation, as prohibited under Iowa Code section </w:t>
      </w:r>
      <w:hyperlink r:id="rId4">
        <w:r>
          <w:rPr>
            <w:rStyle w:val="Hyperlink"/>
            <w:rFonts w:ascii="Times New Roman" w:hAnsi="Times New Roman"/>
            <w:b w:val="false"/>
            <w:i w:val="false"/>
            <w:color w:val="000000"/>
            <w:sz w:val="22"/>
          </w:rPr>
          <w:t>204.14A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“Crop input” </w:t>
      </w:r>
      <w:r>
        <w:rPr>
          <w:rFonts w:ascii="Times New Roman" w:hAnsi="Times New Roman"/>
          <w:b w:val="false"/>
          <w:i w:val="false"/>
          <w:color w:val="000000"/>
          <w:sz w:val="22"/>
        </w:rPr>
        <w:t>means any substance applied to or used in the cultivation and growth of a cannabis plant. “Crop input” includes but is not limited to pesticides, fungicides, fertilizers, and other soil or medium amendments.</w:t>
      </w:r>
    </w:p>
    <w:p>
      <w:pPr>
        <w:spacing w:before="0" w:after="0"/>
        <w:ind w:left="120"/>
        <w:jc w:val="both"/>
      </w:pPr>
      <w:r>
        <w:rPr>
          <w:rFonts w:ascii="Times New Roman" w:hAnsi="Times New Roman"/>
          <w:b w:val="false"/>
          <w:i/>
          <w:color w:val="000000"/>
          <w:sz w:val="22"/>
        </w:rPr>
        <w:t xml:space="preserve">“Date of expiration” </w:t>
      </w:r>
      <w:r>
        <w:rPr>
          <w:rFonts w:ascii="Times New Roman" w:hAnsi="Times New Roman"/>
          <w:b w:val="false"/>
          <w:i w:val="false"/>
          <w:color w:val="000000"/>
          <w:sz w:val="22"/>
        </w:rPr>
        <w:t>means one year from the date of issuance of the medical cannabidiol registration card by the department of transportation.</w:t>
      </w:r>
    </w:p>
    <w:p>
      <w:pPr>
        <w:spacing w:before="0" w:after="0"/>
        <w:ind w:left="120"/>
        <w:jc w:val="both"/>
      </w:pPr>
      <w:r>
        <w:rPr>
          <w:rFonts w:ascii="Times New Roman" w:hAnsi="Times New Roman"/>
          <w:b w:val="false"/>
          <w:i/>
          <w:color w:val="000000"/>
          <w:sz w:val="22"/>
        </w:rPr>
        <w:t xml:space="preserve">“Date of issuance” </w:t>
      </w:r>
      <w:r>
        <w:rPr>
          <w:rFonts w:ascii="Times New Roman" w:hAnsi="Times New Roman"/>
          <w:b w:val="false"/>
          <w:i w:val="false"/>
          <w:color w:val="000000"/>
          <w:sz w:val="22"/>
        </w:rPr>
        <w:t>means the date of issuance of the medical cannabidiol registration card by the department.</w:t>
      </w:r>
    </w:p>
    <w:p>
      <w:pPr>
        <w:spacing w:before="0" w:after="0"/>
        <w:ind w:left="120"/>
        <w:jc w:val="both"/>
      </w:pPr>
      <w:r>
        <w:rPr>
          <w:rFonts w:ascii="Times New Roman" w:hAnsi="Times New Roman"/>
          <w:b w:val="false"/>
          <w:i/>
          <w:color w:val="000000"/>
          <w:sz w:val="22"/>
        </w:rPr>
        <w:t xml:space="preserve">“Debilitating medical condition” </w:t>
      </w:r>
      <w:r>
        <w:rPr>
          <w:rFonts w:ascii="Times New Roman" w:hAnsi="Times New Roman"/>
          <w:b w:val="false"/>
          <w:i w:val="false"/>
          <w:color w:val="000000"/>
          <w:sz w:val="22"/>
        </w:rPr>
        <w:t xml:space="preserve">means any of the following: </w:t>
      </w:r>
    </w:p>
    <w:p>
      <w:pPr>
        <w:numPr>
          <w:ilvl w:val="0"/>
          <w:numId w:val="6"/>
        </w:numPr>
        <w:spacing w:before="0" w:after="0"/>
        <w:jc w:val="both"/>
      </w:pPr>
      <w:r>
        <w:rPr>
          <w:rFonts w:ascii="Times New Roman" w:hAnsi="Times New Roman"/>
          <w:b w:val="false"/>
          <w:i w:val="false"/>
          <w:color w:val="000000"/>
          <w:sz w:val="22"/>
        </w:rPr>
        <w:t xml:space="preserve">Cancer, if the underlying condition or treatment produces one or more of the following: </w:t>
      </w:r>
    </w:p>
    <w:p>
      <w:pPr>
        <w:numPr>
          <w:ilvl w:val="1"/>
          <w:numId w:val="6"/>
        </w:numPr>
        <w:spacing w:before="0" w:after="0"/>
        <w:jc w:val="both"/>
      </w:pPr>
    </w:p>
    <w:p>
      <w:pPr>
        <w:spacing w:before="0" w:after="0"/>
        <w:ind w:left="360"/>
        <w:jc w:val="both"/>
      </w:pPr>
      <w:r>
        <w:rPr>
          <w:rFonts w:ascii="Times New Roman" w:hAnsi="Times New Roman"/>
          <w:b w:val="false"/>
          <w:i w:val="false"/>
          <w:color w:val="000000"/>
          <w:sz w:val="22"/>
        </w:rPr>
        <w:t xml:space="preserve">Severe or chronic pain. </w:t>
      </w:r>
    </w:p>
    <w:p>
      <w:pPr>
        <w:numPr>
          <w:ilvl w:val="1"/>
          <w:numId w:val="6"/>
        </w:numPr>
        <w:spacing w:before="0" w:after="0"/>
        <w:jc w:val="both"/>
      </w:pPr>
    </w:p>
    <w:p>
      <w:pPr>
        <w:spacing w:before="0" w:after="0"/>
        <w:ind w:left="360"/>
        <w:jc w:val="both"/>
      </w:pPr>
      <w:r>
        <w:rPr>
          <w:rFonts w:ascii="Times New Roman" w:hAnsi="Times New Roman"/>
          <w:b w:val="false"/>
          <w:i w:val="false"/>
          <w:color w:val="000000"/>
          <w:sz w:val="22"/>
        </w:rPr>
        <w:t xml:space="preserve">Nausea or severe vomiting. </w:t>
      </w:r>
    </w:p>
    <w:p>
      <w:pPr>
        <w:numPr>
          <w:ilvl w:val="1"/>
          <w:numId w:val="6"/>
        </w:numPr>
        <w:spacing w:before="0" w:after="0"/>
        <w:jc w:val="both"/>
      </w:pPr>
    </w:p>
    <w:p>
      <w:pPr>
        <w:spacing w:before="0" w:after="0"/>
        <w:ind w:left="360"/>
        <w:jc w:val="both"/>
      </w:pPr>
      <w:r>
        <w:rPr>
          <w:rFonts w:ascii="Times New Roman" w:hAnsi="Times New Roman"/>
          <w:b w:val="false"/>
          <w:i w:val="false"/>
          <w:color w:val="000000"/>
          <w:sz w:val="22"/>
        </w:rPr>
        <w:t xml:space="preserve">Cachexia or severe wasting. </w:t>
      </w:r>
    </w:p>
    <w:p>
      <w:pPr>
        <w:numPr>
          <w:ilvl w:val="0"/>
          <w:numId w:val="6"/>
        </w:numPr>
        <w:spacing w:before="0" w:after="0"/>
        <w:jc w:val="both"/>
      </w:pPr>
      <w:r>
        <w:rPr>
          <w:rFonts w:ascii="Times New Roman" w:hAnsi="Times New Roman"/>
          <w:b w:val="false"/>
          <w:i w:val="false"/>
          <w:color w:val="000000"/>
          <w:sz w:val="22"/>
        </w:rPr>
        <w:t xml:space="preserve">Multiple sclerosis with severe and persistent muscle spasms. </w:t>
      </w:r>
    </w:p>
    <w:p>
      <w:pPr>
        <w:numPr>
          <w:ilvl w:val="0"/>
          <w:numId w:val="6"/>
        </w:numPr>
        <w:spacing w:before="0" w:after="0"/>
        <w:jc w:val="both"/>
      </w:pPr>
      <w:r>
        <w:rPr>
          <w:rFonts w:ascii="Times New Roman" w:hAnsi="Times New Roman"/>
          <w:b w:val="false"/>
          <w:i w:val="false"/>
          <w:color w:val="000000"/>
          <w:sz w:val="22"/>
        </w:rPr>
        <w:t xml:space="preserve">Seizures, including those characteristic of epilepsy. </w:t>
      </w:r>
    </w:p>
    <w:p>
      <w:pPr>
        <w:numPr>
          <w:ilvl w:val="0"/>
          <w:numId w:val="6"/>
        </w:numPr>
        <w:spacing w:before="0" w:after="0"/>
        <w:jc w:val="both"/>
      </w:pPr>
      <w:r>
        <w:rPr>
          <w:rFonts w:ascii="Times New Roman" w:hAnsi="Times New Roman"/>
          <w:b w:val="false"/>
          <w:i w:val="false"/>
          <w:color w:val="000000"/>
          <w:sz w:val="22"/>
        </w:rPr>
        <w:t xml:space="preserve">AIDS or HIV as defined in Iowa Code section </w:t>
      </w:r>
      <w:hyperlink r:id="rId5">
        <w:r>
          <w:rPr>
            <w:rStyle w:val="Hyperlink"/>
            <w:rFonts w:ascii="Times New Roman" w:hAnsi="Times New Roman"/>
            <w:b w:val="false"/>
            <w:i w:val="false"/>
            <w:color w:val="000000"/>
            <w:sz w:val="22"/>
          </w:rPr>
          <w:t>141A.1.</w:t>
        </w:r>
      </w:hyperlink>
    </w:p>
    <w:p>
      <w:pPr>
        <w:numPr>
          <w:ilvl w:val="0"/>
          <w:numId w:val="6"/>
        </w:numPr>
        <w:spacing w:before="0" w:after="0"/>
        <w:jc w:val="both"/>
      </w:pPr>
      <w:r>
        <w:rPr>
          <w:rFonts w:ascii="Times New Roman" w:hAnsi="Times New Roman"/>
          <w:b w:val="false"/>
          <w:i w:val="false"/>
          <w:color w:val="000000"/>
          <w:sz w:val="22"/>
        </w:rPr>
        <w:t xml:space="preserve">Crohn’s disease. </w:t>
      </w:r>
    </w:p>
    <w:p>
      <w:pPr>
        <w:numPr>
          <w:ilvl w:val="0"/>
          <w:numId w:val="6"/>
        </w:numPr>
        <w:spacing w:before="0" w:after="0"/>
        <w:jc w:val="both"/>
      </w:pPr>
      <w:r>
        <w:rPr>
          <w:rFonts w:ascii="Times New Roman" w:hAnsi="Times New Roman"/>
          <w:b w:val="false"/>
          <w:i w:val="false"/>
          <w:color w:val="000000"/>
          <w:sz w:val="22"/>
        </w:rPr>
        <w:t xml:space="preserve">Amyotrophic lateral sclerosis. </w:t>
      </w:r>
    </w:p>
    <w:p>
      <w:pPr>
        <w:numPr>
          <w:ilvl w:val="0"/>
          <w:numId w:val="6"/>
        </w:numPr>
        <w:spacing w:before="0" w:after="0"/>
        <w:jc w:val="both"/>
      </w:pPr>
      <w:r>
        <w:rPr>
          <w:rFonts w:ascii="Times New Roman" w:hAnsi="Times New Roman"/>
          <w:b w:val="false"/>
          <w:i w:val="false"/>
          <w:color w:val="000000"/>
          <w:sz w:val="22"/>
        </w:rPr>
        <w:t xml:space="preserve">Any terminal illness with a probable life expectancy of under one year, if the illness or its treatment produces one or more of the following: </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 xml:space="preserve">Severe or chronic pain. </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 xml:space="preserve">Nausea or severe vomiting. </w:t>
      </w:r>
    </w:p>
    <w:p>
      <w:pPr>
        <w:numPr>
          <w:ilvl w:val="1"/>
          <w:numId w:val="7"/>
        </w:numPr>
        <w:spacing w:before="0" w:after="0"/>
        <w:jc w:val="both"/>
      </w:pPr>
    </w:p>
    <w:p>
      <w:pPr>
        <w:spacing w:before="0" w:after="0"/>
        <w:ind w:left="360"/>
        <w:jc w:val="both"/>
      </w:pPr>
      <w:r>
        <w:rPr>
          <w:rFonts w:ascii="Times New Roman" w:hAnsi="Times New Roman"/>
          <w:b w:val="false"/>
          <w:i w:val="false"/>
          <w:color w:val="000000"/>
          <w:sz w:val="22"/>
        </w:rPr>
        <w:t xml:space="preserve">Cachexia or severe wasting. </w:t>
      </w:r>
    </w:p>
    <w:p>
      <w:pPr>
        <w:numPr>
          <w:ilvl w:val="0"/>
          <w:numId w:val="6"/>
        </w:numPr>
        <w:spacing w:before="0" w:after="0"/>
        <w:jc w:val="both"/>
      </w:pPr>
      <w:r>
        <w:rPr>
          <w:rFonts w:ascii="Times New Roman" w:hAnsi="Times New Roman"/>
          <w:b w:val="false"/>
          <w:i w:val="false"/>
          <w:color w:val="000000"/>
          <w:sz w:val="22"/>
        </w:rPr>
        <w:t xml:space="preserve">Parkinson’s disease. </w:t>
      </w:r>
    </w:p>
    <w:p>
      <w:pPr>
        <w:numPr>
          <w:ilvl w:val="0"/>
          <w:numId w:val="6"/>
        </w:numPr>
        <w:spacing w:before="0" w:after="0"/>
        <w:jc w:val="both"/>
      </w:pPr>
      <w:r>
        <w:rPr>
          <w:rFonts w:ascii="Times New Roman" w:hAnsi="Times New Roman"/>
          <w:b w:val="false"/>
          <w:i w:val="false"/>
          <w:color w:val="000000"/>
          <w:sz w:val="22"/>
        </w:rPr>
        <w:t xml:space="preserve">Chronic pain. </w:t>
      </w:r>
    </w:p>
    <w:p>
      <w:pPr>
        <w:numPr>
          <w:ilvl w:val="0"/>
          <w:numId w:val="6"/>
        </w:numPr>
        <w:spacing w:before="0" w:after="0"/>
        <w:jc w:val="both"/>
      </w:pPr>
      <w:r>
        <w:rPr>
          <w:rFonts w:ascii="Times New Roman" w:hAnsi="Times New Roman"/>
          <w:b w:val="false"/>
          <w:i w:val="false"/>
          <w:color w:val="000000"/>
          <w:sz w:val="22"/>
        </w:rPr>
        <w:t xml:space="preserve">Severe, intractable autism with self-injurious or aggressive behaviors. </w:t>
      </w:r>
    </w:p>
    <w:p>
      <w:pPr>
        <w:numPr>
          <w:ilvl w:val="0"/>
          <w:numId w:val="6"/>
        </w:numPr>
        <w:spacing w:before="0" w:after="0"/>
        <w:jc w:val="both"/>
      </w:pPr>
      <w:r>
        <w:rPr>
          <w:rFonts w:ascii="Times New Roman" w:hAnsi="Times New Roman"/>
          <w:b w:val="false"/>
          <w:i w:val="false"/>
          <w:color w:val="000000"/>
          <w:sz w:val="22"/>
        </w:rPr>
        <w:t xml:space="preserve">Post-traumatic stress disorder. </w:t>
      </w:r>
    </w:p>
    <w:p>
      <w:pPr>
        <w:numPr>
          <w:ilvl w:val="0"/>
          <w:numId w:val="6"/>
        </w:numPr>
        <w:spacing w:before="0" w:after="0"/>
        <w:jc w:val="both"/>
      </w:pPr>
      <w:r>
        <w:rPr>
          <w:rFonts w:ascii="Times New Roman" w:hAnsi="Times New Roman"/>
          <w:b w:val="false"/>
          <w:i w:val="false"/>
          <w:color w:val="000000"/>
          <w:sz w:val="22"/>
        </w:rPr>
        <w:t xml:space="preserve">Corticobasal degeneration. </w:t>
      </w:r>
    </w:p>
    <w:p>
      <w:pPr>
        <w:numPr>
          <w:ilvl w:val="0"/>
          <w:numId w:val="6"/>
        </w:numPr>
        <w:spacing w:before="0" w:after="0"/>
        <w:jc w:val="both"/>
      </w:pPr>
      <w:r>
        <w:rPr>
          <w:rFonts w:ascii="Times New Roman" w:hAnsi="Times New Roman"/>
          <w:b w:val="false"/>
          <w:i w:val="false"/>
          <w:color w:val="000000"/>
          <w:sz w:val="22"/>
        </w:rPr>
        <w:t xml:space="preserve">Ulcerative colitis. </w:t>
      </w:r>
    </w:p>
    <w:p>
      <w:pPr>
        <w:numPr>
          <w:ilvl w:val="0"/>
          <w:numId w:val="6"/>
        </w:numPr>
        <w:spacing w:before="0" w:after="0"/>
        <w:jc w:val="both"/>
      </w:pPr>
      <w:r>
        <w:rPr>
          <w:rFonts w:ascii="Times New Roman" w:hAnsi="Times New Roman"/>
          <w:b w:val="false"/>
          <w:i w:val="false"/>
          <w:color w:val="000000"/>
          <w:sz w:val="22"/>
        </w:rPr>
        <w:t xml:space="preserve">Any medical condition that is recommended by the medical cannabidiol board and adopted by the board of medicine by rule pursuant to Iowa Code section </w:t>
      </w:r>
      <w:hyperlink r:id="rId6">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and that is listed in </w:t>
      </w:r>
      <w:hyperlink r:id="rId7">
        <w:r>
          <w:rPr>
            <w:rStyle w:val="Hyperlink"/>
            <w:rFonts w:ascii="Times New Roman" w:hAnsi="Times New Roman"/>
            <w:b w:val="false"/>
            <w:i w:val="false"/>
            <w:color w:val="000000"/>
            <w:sz w:val="22"/>
          </w:rPr>
          <w:t>653—subrule 13.15(1)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“Dispensary” </w:t>
      </w:r>
      <w:r>
        <w:rPr>
          <w:rFonts w:ascii="Times New Roman" w:hAnsi="Times New Roman"/>
          <w:b w:val="false"/>
          <w:i w:val="false"/>
          <w:color w:val="000000"/>
          <w:sz w:val="22"/>
        </w:rPr>
        <w:t xml:space="preserve">means an individual or entity licensed by the department to dispense medical cannabidiol to patients and primary caregivers pursuant to Iowa Code chapter </w:t>
      </w:r>
      <w:hyperlink r:id="rId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“Dispensary” includes the employees and agents of the dispensary. </w:t>
      </w:r>
    </w:p>
    <w:p>
      <w:pPr>
        <w:spacing w:before="0" w:after="0"/>
        <w:ind w:left="120"/>
        <w:jc w:val="both"/>
      </w:pPr>
      <w:r>
        <w:rPr>
          <w:rFonts w:ascii="Times New Roman" w:hAnsi="Times New Roman"/>
          <w:b w:val="false"/>
          <w:i/>
          <w:color w:val="000000"/>
          <w:sz w:val="22"/>
        </w:rPr>
        <w:t xml:space="preserve">“Dispensary facility” </w:t>
      </w:r>
      <w:r>
        <w:rPr>
          <w:rFonts w:ascii="Times New Roman" w:hAnsi="Times New Roman"/>
          <w:b w:val="false"/>
          <w:i w:val="false"/>
          <w:color w:val="000000"/>
          <w:sz w:val="22"/>
        </w:rPr>
        <w:t>means any secured building, space, grounds, and physical structure of a dispensary licensed by the department to dispense medical cannabidiol and where the dispensing of medical cannabidiol is authorized.</w:t>
      </w:r>
    </w:p>
    <w:p>
      <w:pPr>
        <w:spacing w:before="0" w:after="0"/>
        <w:ind w:left="120"/>
        <w:jc w:val="both"/>
      </w:pP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“dispensing” </w:t>
      </w:r>
      <w:r>
        <w:rPr>
          <w:rFonts w:ascii="Times New Roman" w:hAnsi="Times New Roman"/>
          <w:b w:val="false"/>
          <w:i w:val="false"/>
          <w:color w:val="000000"/>
          <w:sz w:val="22"/>
        </w:rPr>
        <w:t xml:space="preserve">means to supply medical cannabidiol to patients pursuant to Iowa Code chapter </w:t>
      </w:r>
      <w:hyperlink r:id="rId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color w:val="000000"/>
          <w:sz w:val="22"/>
        </w:rPr>
        <w:t xml:space="preserve">“Disqualifying felony offense”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“Edible medical cannabidiol products” </w:t>
      </w:r>
      <w:r>
        <w:rPr>
          <w:rFonts w:ascii="Times New Roman" w:hAnsi="Times New Roman"/>
          <w:b w:val="false"/>
          <w:i w:val="false"/>
          <w:color w:val="000000"/>
          <w:sz w:val="22"/>
        </w:rPr>
        <w:t>means food items containing medical cannabidiol. “Edible medical cannabidiol products” does not include pills, tinctures, oils, or other forms of medical cannabidiol that may be consumed orally or through the nasal cavity that do not contain food or food additives; provided that food or food additives used as carriers, excipients, or processing aids shall not be considered food or food additives.</w:t>
      </w:r>
    </w:p>
    <w:p>
      <w:pPr>
        <w:spacing w:before="0" w:after="0"/>
        <w:ind w:left="120"/>
        <w:jc w:val="both"/>
      </w:pPr>
      <w:r>
        <w:rPr>
          <w:rFonts w:ascii="Times New Roman" w:hAnsi="Times New Roman"/>
          <w:b w:val="false"/>
          <w:i/>
          <w:color w:val="000000"/>
          <w:sz w:val="22"/>
        </w:rPr>
        <w:t xml:space="preserve">“Field duplicate sample” </w:t>
      </w:r>
      <w:r>
        <w:rPr>
          <w:rFonts w:ascii="Times New Roman" w:hAnsi="Times New Roman"/>
          <w:b w:val="false"/>
          <w:i w:val="false"/>
          <w:color w:val="000000"/>
          <w:sz w:val="22"/>
        </w:rPr>
        <w:t>means a sample that is taken in the identical manner and from the same batch, process lot, or lot being sampled as the primary sample. A field duplicate sample is analyzed separately from the primary sample and is used for quality control only.</w:t>
      </w:r>
    </w:p>
    <w:p>
      <w:pPr>
        <w:spacing w:before="0" w:after="0"/>
        <w:ind w:left="120"/>
        <w:jc w:val="both"/>
      </w:pPr>
      <w:r>
        <w:rPr>
          <w:rFonts w:ascii="Times New Roman" w:hAnsi="Times New Roman"/>
          <w:b w:val="false"/>
          <w:i/>
          <w:color w:val="000000"/>
          <w:sz w:val="22"/>
        </w:rPr>
        <w:t xml:space="preserve">“Health care practitioner”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“Inspection” </w:t>
      </w:r>
      <w:r>
        <w:rPr>
          <w:rFonts w:ascii="Times New Roman" w:hAnsi="Times New Roman"/>
          <w:b w:val="false"/>
          <w:i w:val="false"/>
          <w:color w:val="000000"/>
          <w:sz w:val="22"/>
        </w:rPr>
        <w:t xml:space="preserve">means an on-site evaluation by the department; the department of public safety; or a department-approved independent consultant of facilities, records, personnel, equipment, methodology, and quality assurance practices for compliance with these rules. </w:t>
      </w:r>
    </w:p>
    <w:p>
      <w:pPr>
        <w:spacing w:before="0" w:after="0"/>
        <w:ind w:left="120"/>
        <w:jc w:val="both"/>
      </w:pPr>
      <w:r>
        <w:rPr>
          <w:rFonts w:ascii="Times New Roman" w:hAnsi="Times New Roman"/>
          <w:b w:val="false"/>
          <w:i/>
          <w:color w:val="000000"/>
          <w:sz w:val="22"/>
        </w:rPr>
        <w:t xml:space="preserve">“Investor” </w:t>
      </w:r>
      <w:r>
        <w:rPr>
          <w:rFonts w:ascii="Times New Roman" w:hAnsi="Times New Roman"/>
          <w:b w:val="false"/>
          <w:i w:val="false"/>
          <w:color w:val="000000"/>
          <w:sz w:val="22"/>
        </w:rPr>
        <w:t xml:space="preserve">means a person making a cash investment of at least 5 percent interest in an applicant or licensed manufacturer or dispensary with the expectation of receiving financial returns. </w:t>
      </w:r>
    </w:p>
    <w:p>
      <w:pPr>
        <w:spacing w:before="0" w:after="0"/>
        <w:ind w:left="120"/>
        <w:jc w:val="both"/>
      </w:pPr>
      <w:r>
        <w:rPr>
          <w:rFonts w:ascii="Times New Roman" w:hAnsi="Times New Roman"/>
          <w:b w:val="false"/>
          <w:i/>
          <w:color w:val="000000"/>
          <w:sz w:val="22"/>
        </w:rPr>
        <w:t xml:space="preserve">“Laboratory”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“Limit of detection”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“LOD” </w:t>
      </w:r>
      <w:r>
        <w:rPr>
          <w:rFonts w:ascii="Times New Roman" w:hAnsi="Times New Roman"/>
          <w:b w:val="false"/>
          <w:i w:val="false"/>
          <w:color w:val="000000"/>
          <w:sz w:val="22"/>
        </w:rPr>
        <w:t>means the lowest quantity of a substance or analyte that can be distinguished from the absence of that substance within a stated confidence limit.</w:t>
      </w:r>
    </w:p>
    <w:p>
      <w:pPr>
        <w:spacing w:before="0" w:after="0"/>
        <w:ind w:left="120"/>
        <w:jc w:val="both"/>
      </w:pPr>
      <w:r>
        <w:rPr>
          <w:rFonts w:ascii="Times New Roman" w:hAnsi="Times New Roman"/>
          <w:b w:val="false"/>
          <w:i/>
          <w:color w:val="000000"/>
          <w:sz w:val="22"/>
        </w:rPr>
        <w:t xml:space="preserve">“Limit of quantitation”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“LOQ” </w:t>
      </w:r>
      <w:r>
        <w:rPr>
          <w:rFonts w:ascii="Times New Roman" w:hAnsi="Times New Roman"/>
          <w:b w:val="false"/>
          <w:i w:val="false"/>
          <w:color w:val="000000"/>
          <w:sz w:val="22"/>
        </w:rPr>
        <w:t>means the minimum concentration of an analyte in a specific matrix that can be reliably quantified while also meeting predefined goals for bias and imprecision.</w:t>
      </w:r>
    </w:p>
    <w:p>
      <w:pPr>
        <w:spacing w:before="0" w:after="0"/>
        <w:ind w:left="120"/>
        <w:jc w:val="both"/>
      </w:pPr>
      <w:r>
        <w:rPr>
          <w:rFonts w:ascii="Times New Roman" w:hAnsi="Times New Roman"/>
          <w:b w:val="false"/>
          <w:i/>
          <w:color w:val="000000"/>
          <w:sz w:val="22"/>
        </w:rPr>
        <w:t xml:space="preserve">“Lot” </w:t>
      </w:r>
      <w:r>
        <w:rPr>
          <w:rFonts w:ascii="Times New Roman" w:hAnsi="Times New Roman"/>
          <w:b w:val="false"/>
          <w:i w:val="false"/>
          <w:color w:val="000000"/>
          <w:sz w:val="22"/>
        </w:rPr>
        <w:t>means a specific quantity of medical cannabidiol that is uniform and intended to meet specifications for identity, strength, purity, and composition, and that is manufactured, packaged, and labeled during a specified time period according to a single manufacturing, packaging, and labeling record.</w:t>
      </w:r>
    </w:p>
    <w:p>
      <w:pPr>
        <w:spacing w:before="0" w:after="0"/>
        <w:ind w:left="120"/>
        <w:jc w:val="both"/>
      </w:pPr>
      <w:r>
        <w:rPr>
          <w:rFonts w:ascii="Times New Roman" w:hAnsi="Times New Roman"/>
          <w:b w:val="false"/>
          <w:i/>
          <w:color w:val="000000"/>
          <w:sz w:val="22"/>
        </w:rPr>
        <w:t xml:space="preserve">“Lot number” </w:t>
      </w:r>
      <w:r>
        <w:rPr>
          <w:rFonts w:ascii="Times New Roman" w:hAnsi="Times New Roman"/>
          <w:b w:val="false"/>
          <w:i w:val="false"/>
          <w:color w:val="000000"/>
          <w:sz w:val="22"/>
        </w:rPr>
        <w:t>means a unique numeric or alphanumeric identifier assigned to a lot by a manufacturer when medical cannabidiol is produced. The lot number shall contain the manufacturer’s number and a sequence to allow for inventory, traceability, and identification of the plant batches used in the production of a lot of medical cannabidiol.</w:t>
      </w:r>
    </w:p>
    <w:p>
      <w:pPr>
        <w:spacing w:before="0" w:after="0"/>
        <w:ind w:left="120"/>
        <w:jc w:val="both"/>
      </w:pPr>
      <w:r>
        <w:rPr>
          <w:rFonts w:ascii="Times New Roman" w:hAnsi="Times New Roman"/>
          <w:b w:val="false"/>
          <w:i/>
          <w:color w:val="000000"/>
          <w:sz w:val="22"/>
        </w:rPr>
        <w:t xml:space="preserve">“Manufacture”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“manufacturing” </w:t>
      </w:r>
      <w:r>
        <w:rPr>
          <w:rFonts w:ascii="Times New Roman" w:hAnsi="Times New Roman"/>
          <w:b w:val="false"/>
          <w:i w:val="false"/>
          <w:color w:val="000000"/>
          <w:sz w:val="22"/>
        </w:rPr>
        <w:t>means the process of converting harvested cannabis plant material into medical cannabidiol.</w:t>
      </w:r>
    </w:p>
    <w:p>
      <w:pPr>
        <w:spacing w:before="0" w:after="0"/>
        <w:ind w:left="120"/>
        <w:jc w:val="both"/>
      </w:pP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an individual or entity licensed by the department to produce medical cannabidiol and distribute it to dispensaries pursuant to Iowa Code chapter </w:t>
      </w:r>
      <w:hyperlink r:id="rId13">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“Manufacturer” includes the employees and agents of the manufacturer.</w:t>
      </w:r>
    </w:p>
    <w:p>
      <w:pPr>
        <w:spacing w:before="0" w:after="0"/>
        <w:ind w:left="120"/>
        <w:jc w:val="both"/>
      </w:pPr>
      <w:r>
        <w:rPr>
          <w:rFonts w:ascii="Times New Roman" w:hAnsi="Times New Roman"/>
          <w:b w:val="false"/>
          <w:i/>
          <w:color w:val="000000"/>
          <w:sz w:val="22"/>
        </w:rPr>
        <w:t xml:space="preserve">“Manufacturing facility” </w:t>
      </w:r>
      <w:r>
        <w:rPr>
          <w:rFonts w:ascii="Times New Roman" w:hAnsi="Times New Roman"/>
          <w:b w:val="false"/>
          <w:i w:val="false"/>
          <w:color w:val="000000"/>
          <w:sz w:val="22"/>
        </w:rPr>
        <w:t>means any secured building, space, grounds, and physical structure of a manufacturer for the cultivation, harvesting, packaging, processing, storage, and distribution of cannabis or medical cannabidiol and where access is restricted to designated employees of a manufacturer and escorted visitors.</w:t>
      </w:r>
    </w:p>
    <w:p>
      <w:pPr>
        <w:spacing w:before="0" w:after="0"/>
        <w:ind w:left="120"/>
        <w:jc w:val="both"/>
      </w:pPr>
      <w:r>
        <w:rPr>
          <w:rFonts w:ascii="Times New Roman" w:hAnsi="Times New Roman"/>
          <w:b w:val="false"/>
          <w:i/>
          <w:color w:val="000000"/>
          <w:sz w:val="22"/>
        </w:rPr>
        <w:t xml:space="preserve">“Matrix” </w:t>
      </w:r>
      <w:r>
        <w:rPr>
          <w:rFonts w:ascii="Times New Roman" w:hAnsi="Times New Roman"/>
          <w:b w:val="false"/>
          <w:i w:val="false"/>
          <w:color w:val="000000"/>
          <w:sz w:val="22"/>
        </w:rPr>
        <w:t>means the component or substrate that contains the analyte of interest.</w:t>
      </w:r>
    </w:p>
    <w:p>
      <w:pPr>
        <w:spacing w:before="0" w:after="0"/>
        <w:ind w:left="120"/>
        <w:jc w:val="both"/>
      </w:pPr>
      <w:r>
        <w:rPr>
          <w:rFonts w:ascii="Times New Roman" w:hAnsi="Times New Roman"/>
          <w:b w:val="false"/>
          <w:i/>
          <w:color w:val="000000"/>
          <w:sz w:val="22"/>
        </w:rPr>
        <w:t xml:space="preserve">“Matrix spike duplicate” </w:t>
      </w:r>
      <w:r>
        <w:rPr>
          <w:rFonts w:ascii="Times New Roman" w:hAnsi="Times New Roman"/>
          <w:b w:val="false"/>
          <w:i w:val="false"/>
          <w:color w:val="000000"/>
          <w:sz w:val="22"/>
        </w:rPr>
        <w:t>means a duplicate sample prepared by adding a known quantity of a target analyte to a field sample matrix or other matrix that is as closely representative of the matrix under analysis as possible.</w:t>
      </w:r>
    </w:p>
    <w:p>
      <w:pPr>
        <w:spacing w:before="0" w:after="0"/>
        <w:ind w:left="120"/>
        <w:jc w:val="both"/>
      </w:pPr>
      <w:r>
        <w:rPr>
          <w:rFonts w:ascii="Times New Roman" w:hAnsi="Times New Roman"/>
          <w:b w:val="false"/>
          <w:i/>
          <w:color w:val="000000"/>
          <w:sz w:val="22"/>
        </w:rPr>
        <w:t xml:space="preserve">“Matrix spike sample” </w:t>
      </w:r>
      <w:r>
        <w:rPr>
          <w:rFonts w:ascii="Times New Roman" w:hAnsi="Times New Roman"/>
          <w:b w:val="false"/>
          <w:i w:val="false"/>
          <w:color w:val="000000"/>
          <w:sz w:val="22"/>
        </w:rPr>
        <w:t>means a sample prepared by adding a known quantity of the target analyte to a field sample matrix or to a matrix that is as closely representative of the matrix under analysis as possible.</w:t>
      </w:r>
    </w:p>
    <w:p>
      <w:pPr>
        <w:spacing w:before="0" w:after="0"/>
        <w:ind w:left="120"/>
        <w:jc w:val="both"/>
      </w:pPr>
      <w:r>
        <w:rPr>
          <w:rFonts w:ascii="Times New Roman" w:hAnsi="Times New Roman"/>
          <w:b w:val="false"/>
          <w:i/>
          <w:color w:val="000000"/>
          <w:sz w:val="22"/>
        </w:rPr>
        <w:t xml:space="preserve">“Medical assistance program” </w:t>
      </w:r>
      <w:r>
        <w:rPr>
          <w:rFonts w:ascii="Times New Roman" w:hAnsi="Times New Roman"/>
          <w:b w:val="false"/>
          <w:i w:val="false"/>
          <w:color w:val="000000"/>
          <w:sz w:val="22"/>
        </w:rPr>
        <w:t>means IA Health Link, Medicaid Fee-for-Service, or hawki, as administered by the Iowa Medicaid enterprise of the department.</w:t>
      </w:r>
    </w:p>
    <w:p>
      <w:pPr>
        <w:spacing w:before="0" w:after="0"/>
        <w:ind w:left="120"/>
        <w:jc w:val="both"/>
      </w:pPr>
      <w:r>
        <w:rPr>
          <w:rFonts w:ascii="Times New Roman" w:hAnsi="Times New Roman"/>
          <w:b w:val="false"/>
          <w:i/>
          <w:color w:val="000000"/>
          <w:sz w:val="22"/>
        </w:rPr>
        <w:t xml:space="preserve">“Medical cannabidiol”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“Medical cannabidiol waste” </w:t>
      </w:r>
      <w:r>
        <w:rPr>
          <w:rFonts w:ascii="Times New Roman" w:hAnsi="Times New Roman"/>
          <w:b w:val="false"/>
          <w:i w:val="false"/>
          <w:color w:val="000000"/>
          <w:sz w:val="22"/>
        </w:rPr>
        <w:t>means medical cannabidiol that is unused, unwanted, damaged, defective, expired, or contaminated and that is returned to a dispensary or manufacturer for disposal.</w:t>
      </w:r>
    </w:p>
    <w:p>
      <w:pPr>
        <w:spacing w:before="0" w:after="0"/>
        <w:ind w:left="120"/>
        <w:jc w:val="both"/>
      </w:pPr>
      <w:r>
        <w:rPr>
          <w:rFonts w:ascii="Times New Roman" w:hAnsi="Times New Roman"/>
          <w:b w:val="false"/>
          <w:i/>
          <w:color w:val="000000"/>
          <w:sz w:val="22"/>
        </w:rPr>
        <w:t xml:space="preserve">“Medical cannabis goods” </w:t>
      </w:r>
      <w:r>
        <w:rPr>
          <w:rFonts w:ascii="Times New Roman" w:hAnsi="Times New Roman"/>
          <w:b w:val="false"/>
          <w:i w:val="false"/>
          <w:color w:val="000000"/>
          <w:sz w:val="22"/>
        </w:rPr>
        <w:t>means medical cannabidiol process lots, medical cannabidiol products, and cannabis plant material, including dried tissue.</w:t>
      </w:r>
    </w:p>
    <w:p>
      <w:pPr>
        <w:spacing w:before="0" w:after="0"/>
        <w:ind w:left="120"/>
        <w:jc w:val="both"/>
      </w:pPr>
      <w:r>
        <w:rPr>
          <w:rFonts w:ascii="Times New Roman" w:hAnsi="Times New Roman"/>
          <w:b w:val="false"/>
          <w:i/>
          <w:color w:val="000000"/>
          <w:sz w:val="22"/>
        </w:rPr>
        <w:t xml:space="preserve">“Method blank” </w:t>
      </w:r>
      <w:r>
        <w:rPr>
          <w:rFonts w:ascii="Times New Roman" w:hAnsi="Times New Roman"/>
          <w:b w:val="false"/>
          <w:i w:val="false"/>
          <w:color w:val="000000"/>
          <w:sz w:val="22"/>
        </w:rPr>
        <w:t>means an analyte-free matrix to which all reagents are added in the same volumes or proportions as are used in sample preparation.</w:t>
      </w:r>
    </w:p>
    <w:p>
      <w:pPr>
        <w:spacing w:before="0" w:after="0"/>
        <w:ind w:left="120"/>
        <w:jc w:val="both"/>
      </w:pPr>
      <w:r>
        <w:rPr>
          <w:rFonts w:ascii="Times New Roman" w:hAnsi="Times New Roman"/>
          <w:b w:val="false"/>
          <w:i/>
          <w:color w:val="000000"/>
          <w:sz w:val="22"/>
        </w:rPr>
        <w:t xml:space="preserve">“National criminal history background check” </w:t>
      </w:r>
      <w:r>
        <w:rPr>
          <w:rFonts w:ascii="Times New Roman" w:hAnsi="Times New Roman"/>
          <w:b w:val="false"/>
          <w:i w:val="false"/>
          <w:color w:val="000000"/>
          <w:sz w:val="22"/>
        </w:rPr>
        <w:t>means fingerprint processing through the department of public safety and the Federal Bureau of Investigation (FBI) and review of records on file with national organizations, courts, and law enforcement agencies to the extent allowed by law.</w:t>
      </w:r>
    </w:p>
    <w:p>
      <w:pPr>
        <w:spacing w:before="0" w:after="0"/>
        <w:ind w:left="120"/>
        <w:jc w:val="both"/>
      </w:pP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with a 5 percent or greater ownership interest in an applicant or licensed manufacturer or dispensary.</w:t>
      </w:r>
    </w:p>
    <w:p>
      <w:pPr>
        <w:spacing w:before="0" w:after="0"/>
        <w:ind w:left="120"/>
        <w:jc w:val="both"/>
      </w:pPr>
      <w:r>
        <w:rPr>
          <w:rFonts w:ascii="Times New Roman" w:hAnsi="Times New Roman"/>
          <w:b w:val="false"/>
          <w:i/>
          <w:color w:val="000000"/>
          <w:sz w:val="22"/>
        </w:rPr>
        <w:t xml:space="preserve">“Patient” </w:t>
      </w:r>
      <w:r>
        <w:rPr>
          <w:rFonts w:ascii="Times New Roman" w:hAnsi="Times New Roman"/>
          <w:b w:val="false"/>
          <w:i w:val="false"/>
          <w:color w:val="000000"/>
          <w:sz w:val="22"/>
        </w:rPr>
        <w:t xml:space="preserve">means a person who is a permanent resident of the state of Iowa who suffers from a debilitating medical condition that qualifies for the use of medical cannabidiol pursuant to Iowa Code chapter </w:t>
      </w:r>
      <w:hyperlink r:id="rId15">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color w:val="000000"/>
          <w:sz w:val="22"/>
        </w:rPr>
        <w:t xml:space="preserve">“Patient registration number” </w:t>
      </w:r>
      <w:r>
        <w:rPr>
          <w:rFonts w:ascii="Times New Roman" w:hAnsi="Times New Roman"/>
          <w:b w:val="false"/>
          <w:i w:val="false"/>
          <w:color w:val="000000"/>
          <w:sz w:val="22"/>
        </w:rPr>
        <w:t>means the unique identification number issued to a patient by the department upon approval of a patient’s application by the department as described in these rules.</w:t>
      </w:r>
    </w:p>
    <w:p>
      <w:pPr>
        <w:spacing w:before="0" w:after="0"/>
        <w:ind w:left="120"/>
        <w:jc w:val="both"/>
      </w:pPr>
      <w:r>
        <w:rPr>
          <w:rFonts w:ascii="Times New Roman" w:hAnsi="Times New Roman"/>
          <w:b w:val="false"/>
          <w:i/>
          <w:color w:val="000000"/>
          <w:sz w:val="22"/>
        </w:rPr>
        <w:t xml:space="preserve">“Percent recovery” </w:t>
      </w:r>
      <w:r>
        <w:rPr>
          <w:rFonts w:ascii="Times New Roman" w:hAnsi="Times New Roman"/>
          <w:b w:val="false"/>
          <w:i w:val="false"/>
          <w:color w:val="000000"/>
          <w:sz w:val="22"/>
        </w:rPr>
        <w:t>means the percentage of a measured concentration relative to the added (spiked) concentration in a reference material, matrix spike sample, or matrix spike duplicate.</w:t>
      </w:r>
    </w:p>
    <w:p>
      <w:pPr>
        <w:spacing w:before="0" w:after="0"/>
        <w:ind w:left="120"/>
        <w:jc w:val="both"/>
      </w:pPr>
      <w:r>
        <w:rPr>
          <w:rFonts w:ascii="Times New Roman" w:hAnsi="Times New Roman"/>
          <w:b w:val="false"/>
          <w:i/>
          <w:color w:val="000000"/>
          <w:sz w:val="22"/>
        </w:rPr>
        <w:t xml:space="preserve">“Plant material” </w:t>
      </w:r>
      <w:r>
        <w:rPr>
          <w:rFonts w:ascii="Times New Roman" w:hAnsi="Times New Roman"/>
          <w:b w:val="false"/>
          <w:i w:val="false"/>
          <w:color w:val="000000"/>
          <w:sz w:val="22"/>
        </w:rPr>
        <w:t xml:space="preserve">means any plant of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or any part thereof, including flowers, leaves, trichomes, and tissue.</w:t>
      </w:r>
    </w:p>
    <w:p>
      <w:pPr>
        <w:spacing w:before="0" w:after="0"/>
        <w:ind w:left="120"/>
        <w:jc w:val="both"/>
      </w:pPr>
      <w:r>
        <w:rPr>
          <w:rFonts w:ascii="Times New Roman" w:hAnsi="Times New Roman"/>
          <w:b w:val="false"/>
          <w:i/>
          <w:color w:val="000000"/>
          <w:sz w:val="22"/>
        </w:rPr>
        <w:t xml:space="preserve">“Plant material waste” </w:t>
      </w:r>
      <w:r>
        <w:rPr>
          <w:rFonts w:ascii="Times New Roman" w:hAnsi="Times New Roman"/>
          <w:b w:val="false"/>
          <w:i w:val="false"/>
          <w:color w:val="000000"/>
          <w:sz w:val="22"/>
        </w:rPr>
        <w:t>means plant material that is not used in the production of medical cannabidiol in a form allowable under these rules.</w:t>
      </w:r>
    </w:p>
    <w:p>
      <w:pPr>
        <w:spacing w:before="0" w:after="0"/>
        <w:ind w:left="120"/>
        <w:jc w:val="both"/>
      </w:pPr>
      <w:r>
        <w:rPr>
          <w:rFonts w:ascii="Times New Roman" w:hAnsi="Times New Roman"/>
          <w:b w:val="false"/>
          <w:i/>
          <w:color w:val="000000"/>
          <w:sz w:val="22"/>
        </w:rPr>
        <w:t xml:space="preserve">“Primary caregiver”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any health care practitioner involved in the diagnosis and treatment of a patient’s debilitating medical condition.</w:t>
      </w:r>
    </w:p>
    <w:p>
      <w:pPr>
        <w:spacing w:before="0" w:after="0"/>
        <w:ind w:left="120"/>
        <w:jc w:val="both"/>
      </w:pPr>
      <w:r>
        <w:rPr>
          <w:rFonts w:ascii="Times New Roman" w:hAnsi="Times New Roman"/>
          <w:b w:val="false"/>
          <w:i/>
          <w:color w:val="000000"/>
          <w:sz w:val="22"/>
        </w:rPr>
        <w:t xml:space="preserve">“Primary sample” </w:t>
      </w:r>
      <w:r>
        <w:rPr>
          <w:rFonts w:ascii="Times New Roman" w:hAnsi="Times New Roman"/>
          <w:b w:val="false"/>
          <w:i w:val="false"/>
          <w:color w:val="000000"/>
          <w:sz w:val="22"/>
        </w:rPr>
        <w:t>means a portion of a batch, process lot, or lot that is used for testing for identity, strength, purity, and composition.</w:t>
      </w:r>
    </w:p>
    <w:p>
      <w:pPr>
        <w:spacing w:before="0" w:after="0"/>
        <w:ind w:left="120"/>
        <w:jc w:val="both"/>
      </w:pPr>
      <w:r>
        <w:rPr>
          <w:rFonts w:ascii="Times New Roman" w:hAnsi="Times New Roman"/>
          <w:b w:val="false"/>
          <w:i/>
          <w:color w:val="000000"/>
          <w:sz w:val="22"/>
        </w:rPr>
        <w:t xml:space="preserve">“Process lot” </w:t>
      </w:r>
      <w:r>
        <w:rPr>
          <w:rFonts w:ascii="Times New Roman" w:hAnsi="Times New Roman"/>
          <w:b w:val="false"/>
          <w:i w:val="false"/>
          <w:color w:val="000000"/>
          <w:sz w:val="22"/>
        </w:rPr>
        <w:t>means any amount of cannabinoid concentrate or extract that is uniform, produced from one or more batches, and used for testing for identity, strength, purity, and composition prior to being packaged.</w:t>
      </w:r>
    </w:p>
    <w:p>
      <w:pPr>
        <w:spacing w:before="0" w:after="0"/>
        <w:ind w:left="120"/>
        <w:jc w:val="both"/>
      </w:pPr>
      <w:r>
        <w:rPr>
          <w:rFonts w:ascii="Times New Roman" w:hAnsi="Times New Roman"/>
          <w:b w:val="false"/>
          <w:i/>
          <w:color w:val="000000"/>
          <w:sz w:val="22"/>
        </w:rPr>
        <w:t xml:space="preserve">“Product expiration date” </w:t>
      </w:r>
      <w:r>
        <w:rPr>
          <w:rFonts w:ascii="Times New Roman" w:hAnsi="Times New Roman"/>
          <w:b w:val="false"/>
          <w:i w:val="false"/>
          <w:color w:val="000000"/>
          <w:sz w:val="22"/>
        </w:rPr>
        <w:t>means the date after which a medical cannabidiol product shall not be sold by a manufacturer or a dispensary.</w:t>
      </w:r>
    </w:p>
    <w:p>
      <w:pPr>
        <w:spacing w:before="0" w:after="0"/>
        <w:ind w:left="120"/>
        <w:jc w:val="both"/>
      </w:pPr>
      <w:r>
        <w:rPr>
          <w:rFonts w:ascii="Times New Roman" w:hAnsi="Times New Roman"/>
          <w:b w:val="false"/>
          <w:i/>
          <w:color w:val="000000"/>
          <w:sz w:val="22"/>
        </w:rPr>
        <w:t xml:space="preserve">“Production”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“produce” </w:t>
      </w:r>
      <w:r>
        <w:rPr>
          <w:rFonts w:ascii="Times New Roman" w:hAnsi="Times New Roman"/>
          <w:b w:val="false"/>
          <w:i w:val="false"/>
          <w:color w:val="000000"/>
          <w:sz w:val="22"/>
        </w:rPr>
        <w:t>means:</w:t>
      </w:r>
    </w:p>
    <w:p>
      <w:pPr>
        <w:numPr>
          <w:ilvl w:val="0"/>
          <w:numId w:val="8"/>
        </w:numPr>
        <w:spacing w:before="0" w:after="0"/>
        <w:jc w:val="both"/>
      </w:pPr>
      <w:r>
        <w:rPr>
          <w:rFonts w:ascii="Times New Roman" w:hAnsi="Times New Roman"/>
          <w:b w:val="false"/>
          <w:i w:val="false"/>
          <w:color w:val="000000"/>
          <w:sz w:val="22"/>
        </w:rPr>
        <w:t>Cultivating or harvesting plant material;</w:t>
      </w:r>
    </w:p>
    <w:p>
      <w:pPr>
        <w:numPr>
          <w:ilvl w:val="0"/>
          <w:numId w:val="8"/>
        </w:numPr>
        <w:spacing w:before="0" w:after="0"/>
        <w:jc w:val="both"/>
      </w:pPr>
      <w:r>
        <w:rPr>
          <w:rFonts w:ascii="Times New Roman" w:hAnsi="Times New Roman"/>
          <w:b w:val="false"/>
          <w:i w:val="false"/>
          <w:color w:val="000000"/>
          <w:sz w:val="22"/>
        </w:rPr>
        <w:t>Processing or manufacturing; or</w:t>
      </w:r>
    </w:p>
    <w:p>
      <w:pPr>
        <w:numPr>
          <w:ilvl w:val="0"/>
          <w:numId w:val="8"/>
        </w:numPr>
        <w:spacing w:before="0" w:after="0"/>
        <w:jc w:val="both"/>
      </w:pPr>
      <w:r>
        <w:rPr>
          <w:rFonts w:ascii="Times New Roman" w:hAnsi="Times New Roman"/>
          <w:b w:val="false"/>
          <w:i w:val="false"/>
          <w:color w:val="000000"/>
          <w:sz w:val="22"/>
        </w:rPr>
        <w:t>Packaging of medical cannabidiol.</w:t>
      </w:r>
    </w:p>
    <w:p>
      <w:pPr>
        <w:spacing w:before="0" w:after="0"/>
        <w:ind w:left="120"/>
        <w:jc w:val="both"/>
      </w:pPr>
      <w:r>
        <w:rPr>
          <w:rFonts w:ascii="Times New Roman" w:hAnsi="Times New Roman"/>
          <w:b w:val="false"/>
          <w:i/>
          <w:color w:val="000000"/>
          <w:sz w:val="22"/>
        </w:rPr>
        <w:t xml:space="preserve">“Proficiency test” </w:t>
      </w:r>
      <w:r>
        <w:rPr>
          <w:rFonts w:ascii="Times New Roman" w:hAnsi="Times New Roman"/>
          <w:b w:val="false"/>
          <w:i w:val="false"/>
          <w:color w:val="000000"/>
          <w:sz w:val="22"/>
        </w:rPr>
        <w:t>means an evaluation of a laboratory’s performance against preestablished criteria by means of interlaboratory comparisons of test measurements.</w:t>
      </w:r>
    </w:p>
    <w:p>
      <w:pPr>
        <w:spacing w:before="0" w:after="0"/>
        <w:ind w:left="120"/>
        <w:jc w:val="both"/>
      </w:pPr>
      <w:r>
        <w:rPr>
          <w:rFonts w:ascii="Times New Roman" w:hAnsi="Times New Roman"/>
          <w:b w:val="false"/>
          <w:i/>
          <w:color w:val="000000"/>
          <w:sz w:val="22"/>
        </w:rPr>
        <w:t xml:space="preserve">“Qualitative analysis” </w:t>
      </w:r>
      <w:r>
        <w:rPr>
          <w:rFonts w:ascii="Times New Roman" w:hAnsi="Times New Roman"/>
          <w:b w:val="false"/>
          <w:i w:val="false"/>
          <w:color w:val="000000"/>
          <w:sz w:val="22"/>
        </w:rPr>
        <w:t>means identification of an analyte in a substance or mixture.</w:t>
      </w:r>
    </w:p>
    <w:p>
      <w:pPr>
        <w:spacing w:before="0" w:after="0"/>
        <w:ind w:left="120"/>
        <w:jc w:val="both"/>
      </w:pPr>
      <w:r>
        <w:rPr>
          <w:rFonts w:ascii="Times New Roman" w:hAnsi="Times New Roman"/>
          <w:b w:val="false"/>
          <w:i/>
          <w:color w:val="000000"/>
          <w:sz w:val="22"/>
        </w:rPr>
        <w:t xml:space="preserve">“Quality assurance” </w:t>
      </w:r>
      <w:r>
        <w:rPr>
          <w:rFonts w:ascii="Times New Roman" w:hAnsi="Times New Roman"/>
          <w:b w:val="false"/>
          <w:i w:val="false"/>
          <w:color w:val="000000"/>
          <w:sz w:val="22"/>
        </w:rPr>
        <w:t>means a set of operating principles to produce data of known accuracy and precision. “Quality assurance” encompasses employee training, equipment preventative maintenance procedures, calibration procedures, and quality control testing, among other things.</w:t>
      </w:r>
    </w:p>
    <w:p>
      <w:pPr>
        <w:spacing w:before="0" w:after="0"/>
        <w:ind w:left="120"/>
        <w:jc w:val="both"/>
      </w:pPr>
      <w:r>
        <w:rPr>
          <w:rFonts w:ascii="Times New Roman" w:hAnsi="Times New Roman"/>
          <w:b w:val="false"/>
          <w:i/>
          <w:color w:val="000000"/>
          <w:sz w:val="22"/>
        </w:rPr>
        <w:t xml:space="preserve">“Quality control” </w:t>
      </w:r>
      <w:r>
        <w:rPr>
          <w:rFonts w:ascii="Times New Roman" w:hAnsi="Times New Roman"/>
          <w:b w:val="false"/>
          <w:i w:val="false"/>
          <w:color w:val="000000"/>
          <w:sz w:val="22"/>
        </w:rPr>
        <w:t>means a set of measures implemented within an analytical procedure to ensure that the measurement system is operating in a state of statistical control in which errors have been reduced to acceptable levels.</w:t>
      </w:r>
    </w:p>
    <w:p>
      <w:pPr>
        <w:spacing w:before="0" w:after="0"/>
        <w:ind w:left="120"/>
        <w:jc w:val="both"/>
      </w:pPr>
      <w:r>
        <w:rPr>
          <w:rFonts w:ascii="Times New Roman" w:hAnsi="Times New Roman"/>
          <w:b w:val="false"/>
          <w:i/>
          <w:color w:val="000000"/>
          <w:sz w:val="22"/>
        </w:rPr>
        <w:t xml:space="preserve">“Quality control samples” </w:t>
      </w:r>
      <w:r>
        <w:rPr>
          <w:rFonts w:ascii="Times New Roman" w:hAnsi="Times New Roman"/>
          <w:b w:val="false"/>
          <w:i w:val="false"/>
          <w:color w:val="000000"/>
          <w:sz w:val="22"/>
        </w:rPr>
        <w:t>means samples produced and used for the purpose of ensuring quality control. Quality control samples include but are not limited to blank samples, spike samples, duplicate samples, and reference material samples.</w:t>
      </w:r>
    </w:p>
    <w:p>
      <w:pPr>
        <w:spacing w:before="0" w:after="0"/>
        <w:ind w:left="120"/>
        <w:jc w:val="both"/>
      </w:pPr>
      <w:r>
        <w:rPr>
          <w:rFonts w:ascii="Times New Roman" w:hAnsi="Times New Roman"/>
          <w:b w:val="false"/>
          <w:i/>
          <w:color w:val="000000"/>
          <w:sz w:val="22"/>
        </w:rPr>
        <w:t xml:space="preserve">“Reagent” </w:t>
      </w:r>
      <w:r>
        <w:rPr>
          <w:rFonts w:ascii="Times New Roman" w:hAnsi="Times New Roman"/>
          <w:b w:val="false"/>
          <w:i w:val="false"/>
          <w:color w:val="000000"/>
          <w:sz w:val="22"/>
        </w:rPr>
        <w:t>means a compound or mixture added to a system to cause a chemical reaction or to test if a reaction occurs. A reagent may be used to tell whether or not a specific chemical substance is present by causing a reaction to occur with the chemical substance.</w:t>
      </w:r>
    </w:p>
    <w:p>
      <w:pPr>
        <w:spacing w:before="0" w:after="0"/>
        <w:ind w:left="120"/>
        <w:jc w:val="both"/>
      </w:pPr>
      <w:r>
        <w:rPr>
          <w:rFonts w:ascii="Times New Roman" w:hAnsi="Times New Roman"/>
          <w:b w:val="false"/>
          <w:i/>
          <w:color w:val="000000"/>
          <w:sz w:val="22"/>
        </w:rPr>
        <w:t xml:space="preserve">“Recall” </w:t>
      </w:r>
      <w:r>
        <w:rPr>
          <w:rFonts w:ascii="Times New Roman" w:hAnsi="Times New Roman"/>
          <w:b w:val="false"/>
          <w:i w:val="false"/>
          <w:color w:val="000000"/>
          <w:sz w:val="22"/>
        </w:rPr>
        <w:t>means the return of medical cannabidiol from patients and dispensaries to a manufacturer because of the potential for serious health consequences from the use of the medical cannabidiol.</w:t>
      </w:r>
    </w:p>
    <w:p>
      <w:pPr>
        <w:spacing w:before="0" w:after="0"/>
        <w:ind w:left="120"/>
        <w:jc w:val="both"/>
      </w:pPr>
      <w:r>
        <w:rPr>
          <w:rFonts w:ascii="Times New Roman" w:hAnsi="Times New Roman"/>
          <w:b w:val="false"/>
          <w:i/>
          <w:color w:val="000000"/>
          <w:sz w:val="22"/>
        </w:rPr>
        <w:t xml:space="preserve">“Reference material” </w:t>
      </w:r>
      <w:r>
        <w:rPr>
          <w:rFonts w:ascii="Times New Roman" w:hAnsi="Times New Roman"/>
          <w:b w:val="false"/>
          <w:i w:val="false"/>
          <w:color w:val="000000"/>
          <w:sz w:val="22"/>
        </w:rPr>
        <w:t>means a material containing a known concentration of an analyte of interest that is in solution or in a homogeneous matrix. Reference material is used to document the bias of the analytical process.</w:t>
      </w:r>
    </w:p>
    <w:p>
      <w:pPr>
        <w:spacing w:before="0" w:after="0"/>
        <w:ind w:left="120"/>
        <w:jc w:val="both"/>
      </w:pPr>
      <w:r>
        <w:rPr>
          <w:rFonts w:ascii="Times New Roman" w:hAnsi="Times New Roman"/>
          <w:b w:val="false"/>
          <w:i/>
          <w:color w:val="000000"/>
          <w:sz w:val="22"/>
        </w:rPr>
        <w:t xml:space="preserve">“Relative percent difference”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“RPD” </w:t>
      </w:r>
      <w:r>
        <w:rPr>
          <w:rFonts w:ascii="Times New Roman" w:hAnsi="Times New Roman"/>
          <w:b w:val="false"/>
          <w:i w:val="false"/>
          <w:color w:val="000000"/>
          <w:sz w:val="22"/>
        </w:rPr>
        <w:t>means a comparative statistic used to calculate precision or random error. RPD is calculated using the following equation: RPD = absolute value (primary sample measurement - duplicate sample measurement) / ([primary sample measurement + duplicate sample measurement] / 2) × 100.</w:t>
      </w:r>
    </w:p>
    <w:p>
      <w:pPr>
        <w:spacing w:before="0" w:after="0"/>
        <w:ind w:left="120"/>
        <w:jc w:val="both"/>
      </w:pPr>
      <w:r>
        <w:rPr>
          <w:rFonts w:ascii="Times New Roman" w:hAnsi="Times New Roman"/>
          <w:b w:val="false"/>
          <w:i/>
          <w:color w:val="000000"/>
          <w:sz w:val="22"/>
        </w:rPr>
        <w:t xml:space="preserve">“Requester” </w:t>
      </w:r>
      <w:r>
        <w:rPr>
          <w:rFonts w:ascii="Times New Roman" w:hAnsi="Times New Roman"/>
          <w:b w:val="false"/>
          <w:i w:val="false"/>
          <w:color w:val="000000"/>
          <w:sz w:val="22"/>
        </w:rPr>
        <w:t>means a person who submits a request to a licensed testing laboratory for state-mandated testing of medical cannabis goods. The requester may be a licensed manufacturer or the department.</w:t>
      </w:r>
    </w:p>
    <w:p>
      <w:pPr>
        <w:spacing w:before="0" w:after="0"/>
        <w:ind w:left="120"/>
        <w:jc w:val="both"/>
      </w:pPr>
      <w:r>
        <w:rPr>
          <w:rFonts w:ascii="Times New Roman" w:hAnsi="Times New Roman"/>
          <w:b w:val="false"/>
          <w:i/>
          <w:color w:val="000000"/>
          <w:sz w:val="22"/>
        </w:rPr>
        <w:t xml:space="preserve">“Residual solvents and processing chemicals” </w:t>
      </w:r>
      <w:r>
        <w:rPr>
          <w:rFonts w:ascii="Times New Roman" w:hAnsi="Times New Roman"/>
          <w:b w:val="false"/>
          <w:i w:val="false"/>
          <w:color w:val="000000"/>
          <w:sz w:val="22"/>
        </w:rPr>
        <w:t>means volatile organic chemicals that are used or produced in the manufacture or production of medical cannabidiol.</w:t>
      </w:r>
    </w:p>
    <w:p>
      <w:pPr>
        <w:spacing w:before="0" w:after="0"/>
        <w:ind w:left="120"/>
        <w:jc w:val="both"/>
      </w:pPr>
      <w:r>
        <w:rPr>
          <w:rFonts w:ascii="Times New Roman" w:hAnsi="Times New Roman"/>
          <w:b w:val="false"/>
          <w:i/>
          <w:color w:val="000000"/>
          <w:sz w:val="22"/>
        </w:rPr>
        <w:t xml:space="preserve">“Restricted access area” </w:t>
      </w:r>
      <w:r>
        <w:rPr>
          <w:rFonts w:ascii="Times New Roman" w:hAnsi="Times New Roman"/>
          <w:b w:val="false"/>
          <w:i w:val="false"/>
          <w:color w:val="000000"/>
          <w:sz w:val="22"/>
        </w:rPr>
        <w:t>means a building, room, or other contiguous area on the premises where plant material is grown, cultivated, harvested, stored, packaged, or processed for sale under control of the manufacturer, and where no person under the age of 18 is permitted.</w:t>
      </w:r>
    </w:p>
    <w:p>
      <w:pPr>
        <w:spacing w:before="0" w:after="0"/>
        <w:ind w:left="120"/>
        <w:jc w:val="both"/>
      </w:pPr>
      <w:r>
        <w:rPr>
          <w:rFonts w:ascii="Times New Roman" w:hAnsi="Times New Roman"/>
          <w:b w:val="false"/>
          <w:i/>
          <w:color w:val="000000"/>
          <w:sz w:val="22"/>
        </w:rPr>
        <w:t xml:space="preserve">“Sample” </w:t>
      </w:r>
      <w:r>
        <w:rPr>
          <w:rFonts w:ascii="Times New Roman" w:hAnsi="Times New Roman"/>
          <w:b w:val="false"/>
          <w:i w:val="false"/>
          <w:color w:val="000000"/>
          <w:sz w:val="22"/>
        </w:rPr>
        <w:t>means a representative part of or a single item from a larger whole or group.</w:t>
      </w:r>
    </w:p>
    <w:p>
      <w:pPr>
        <w:spacing w:before="0" w:after="0"/>
        <w:ind w:left="120"/>
        <w:jc w:val="both"/>
      </w:pPr>
      <w:r>
        <w:rPr>
          <w:rFonts w:ascii="Times New Roman" w:hAnsi="Times New Roman"/>
          <w:b w:val="false"/>
          <w:i/>
          <w:color w:val="000000"/>
          <w:sz w:val="22"/>
        </w:rPr>
        <w:t xml:space="preserve">“Sanitize” </w:t>
      </w:r>
      <w:r>
        <w:rPr>
          <w:rFonts w:ascii="Times New Roman" w:hAnsi="Times New Roman"/>
          <w:b w:val="false"/>
          <w:i w:val="false"/>
          <w:color w:val="000000"/>
          <w:sz w:val="22"/>
        </w:rPr>
        <w:t>means to sterilize, disinfect, or make hygienic.</w:t>
      </w:r>
    </w:p>
    <w:p>
      <w:pPr>
        <w:spacing w:before="0" w:after="0"/>
        <w:ind w:left="120"/>
        <w:jc w:val="both"/>
      </w:pPr>
      <w:r>
        <w:rPr>
          <w:rFonts w:ascii="Times New Roman" w:hAnsi="Times New Roman"/>
          <w:b w:val="false"/>
          <w:i/>
          <w:color w:val="000000"/>
          <w:sz w:val="22"/>
        </w:rPr>
        <w:t xml:space="preserve">“Security alarm system” </w:t>
      </w:r>
      <w:r>
        <w:rPr>
          <w:rFonts w:ascii="Times New Roman" w:hAnsi="Times New Roman"/>
          <w:b w:val="false"/>
          <w:i w:val="false"/>
          <w:color w:val="000000"/>
          <w:sz w:val="22"/>
        </w:rPr>
        <w:t xml:space="preserve">means the same as defined in rule </w:t>
      </w:r>
      <w:hyperlink r:id="rId17">
        <w:r>
          <w:rPr>
            <w:rStyle w:val="Hyperlink"/>
            <w:rFonts w:ascii="Times New Roman" w:hAnsi="Times New Roman"/>
            <w:b w:val="false"/>
            <w:i w:val="false"/>
            <w:color w:val="000000"/>
            <w:sz w:val="22"/>
          </w:rPr>
          <w:t>661—277.2</w:t>
        </w:r>
      </w:hyperlink>
      <w:r>
        <w:rPr>
          <w:rFonts w:ascii="Times New Roman" w:hAnsi="Times New Roman"/>
          <w:b w:val="false"/>
          <w:i w:val="false"/>
          <w:color w:val="000000"/>
          <w:sz w:val="22"/>
        </w:rPr>
        <w:t xml:space="preserve">(100C). </w:t>
      </w:r>
    </w:p>
    <w:p>
      <w:pPr>
        <w:spacing w:before="0" w:after="0"/>
        <w:ind w:left="120"/>
        <w:jc w:val="both"/>
      </w:pPr>
      <w:r>
        <w:rPr>
          <w:rFonts w:ascii="Times New Roman" w:hAnsi="Times New Roman"/>
          <w:b w:val="false"/>
          <w:i/>
          <w:color w:val="000000"/>
          <w:sz w:val="22"/>
        </w:rPr>
        <w:t xml:space="preserve">“Semiquantitative analysis” </w:t>
      </w:r>
      <w:r>
        <w:rPr>
          <w:rFonts w:ascii="Times New Roman" w:hAnsi="Times New Roman"/>
          <w:b w:val="false"/>
          <w:i w:val="false"/>
          <w:color w:val="000000"/>
          <w:sz w:val="22"/>
        </w:rPr>
        <w:t>means less than quantitative precision and does not involve a full calibration. Analyte identification is based on a single-point reference or high-probability library match. The determination of amount uses the ratio of the unknown chemical analyte to that of a known analyte added to the sample before analysis. Uncertainty for semiquantitative results is higher than for quantitative results.</w:t>
      </w:r>
    </w:p>
    <w:p>
      <w:pPr>
        <w:spacing w:before="0" w:after="0"/>
        <w:ind w:left="120"/>
        <w:jc w:val="both"/>
      </w:pPr>
      <w:r>
        <w:rPr>
          <w:rFonts w:ascii="Times New Roman" w:hAnsi="Times New Roman"/>
          <w:b w:val="false"/>
          <w:i/>
          <w:color w:val="000000"/>
          <w:sz w:val="22"/>
        </w:rPr>
        <w:t xml:space="preserve">“Significant figures” </w:t>
      </w:r>
      <w:r>
        <w:rPr>
          <w:rFonts w:ascii="Times New Roman" w:hAnsi="Times New Roman"/>
          <w:b w:val="false"/>
          <w:i w:val="false"/>
          <w:color w:val="000000"/>
          <w:sz w:val="22"/>
        </w:rPr>
        <w:t>means the number of digits used to express a measurement.</w:t>
      </w:r>
    </w:p>
    <w:p>
      <w:pPr>
        <w:spacing w:before="0" w:after="0"/>
        <w:ind w:left="120"/>
        <w:jc w:val="both"/>
      </w:pPr>
      <w:r>
        <w:rPr>
          <w:rFonts w:ascii="Times New Roman" w:hAnsi="Times New Roman"/>
          <w:b w:val="false"/>
          <w:i/>
          <w:color w:val="000000"/>
          <w:sz w:val="22"/>
        </w:rPr>
        <w:t xml:space="preserve">“Stability study”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“studies” </w:t>
      </w:r>
      <w:r>
        <w:rPr>
          <w:rFonts w:ascii="Times New Roman" w:hAnsi="Times New Roman"/>
          <w:b w:val="false"/>
          <w:i w:val="false"/>
          <w:color w:val="000000"/>
          <w:sz w:val="22"/>
        </w:rPr>
        <w:t xml:space="preserve">means the process of determining the shelf-life or expiration date of a medical cannabidiol product. After storage of an unopened package of medical cannabidiol at a licensed manufacturing facility or dispensary facility, the contents shall not vary in concentrations of THC and CBD by more than an amount determined by the department and listed in the laboratory testing requirements and acceptance criteria document described in </w:t>
      </w:r>
      <w:hyperlink r:id="rId18">
        <w:r>
          <w:rPr>
            <w:rStyle w:val="Hyperlink"/>
            <w:rFonts w:ascii="Times New Roman" w:hAnsi="Times New Roman"/>
            <w:b w:val="false"/>
            <w:i w:val="false"/>
            <w:color w:val="000000"/>
            <w:sz w:val="22"/>
          </w:rPr>
          <w:t>641—Chapter 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“Standard operating procedure” </w:t>
      </w:r>
      <w:r>
        <w:rPr>
          <w:rFonts w:ascii="Times New Roman" w:hAnsi="Times New Roman"/>
          <w:b w:val="false"/>
          <w:i w:val="false"/>
          <w:color w:val="000000"/>
          <w:sz w:val="22"/>
        </w:rPr>
        <w:t>means a written document that provides detailed instructions for the performance of all aspects of an analysis, operation, or action.</w:t>
      </w:r>
    </w:p>
    <w:p>
      <w:pPr>
        <w:spacing w:before="0" w:after="0"/>
        <w:ind w:left="120"/>
        <w:jc w:val="both"/>
      </w:pPr>
      <w:r>
        <w:rPr>
          <w:rFonts w:ascii="Times New Roman" w:hAnsi="Times New Roman"/>
          <w:b w:val="false"/>
          <w:i/>
          <w:color w:val="000000"/>
          <w:sz w:val="22"/>
        </w:rPr>
        <w:t xml:space="preserve">“Synthetic or semisynthetic cannabinoid” </w:t>
      </w:r>
      <w:r>
        <w:rPr>
          <w:rFonts w:ascii="Times New Roman" w:hAnsi="Times New Roman"/>
          <w:b w:val="false"/>
          <w:i w:val="false"/>
          <w:color w:val="000000"/>
          <w:sz w:val="22"/>
        </w:rPr>
        <w:t>means a cannabinoid extracted from a cannabis plant, a cannabis flower, a hemp plant, or hemp plant parts with a chemical makeup that is changed after extraction to create a different cannabinoid or other chemical compound by applying a catalyst other than heat or light. “Synthetic or semisynthetic cannabinoid” includes but is not limited to any tetrahydrocannabinol created from cannabidiol.</w:t>
      </w:r>
    </w:p>
    <w:p>
      <w:pPr>
        <w:spacing w:before="0" w:after="0"/>
        <w:ind w:left="120"/>
        <w:jc w:val="both"/>
      </w:pPr>
      <w:r>
        <w:rPr>
          <w:rFonts w:ascii="Times New Roman" w:hAnsi="Times New Roman"/>
          <w:b w:val="false"/>
          <w:i/>
          <w:color w:val="000000"/>
          <w:sz w:val="22"/>
        </w:rPr>
        <w:t xml:space="preserve">“Tamper-evident” </w:t>
      </w:r>
      <w:r>
        <w:rPr>
          <w:rFonts w:ascii="Times New Roman" w:hAnsi="Times New Roman"/>
          <w:b w:val="false"/>
          <w:i w:val="false"/>
          <w:color w:val="000000"/>
          <w:sz w:val="22"/>
        </w:rPr>
        <w:t>means that one or more one-time-use seals are affixed to the opening of a package, allowing a person to recognize whether or not the package has been opened.</w:t>
      </w:r>
    </w:p>
    <w:p>
      <w:pPr>
        <w:spacing w:before="0" w:after="0"/>
        <w:ind w:left="120"/>
        <w:jc w:val="both"/>
      </w:pPr>
      <w:r>
        <w:rPr>
          <w:rFonts w:ascii="Times New Roman" w:hAnsi="Times New Roman"/>
          <w:b w:val="false"/>
          <w:i/>
          <w:color w:val="000000"/>
          <w:sz w:val="22"/>
        </w:rPr>
        <w:t xml:space="preserve">“Testing laboratory record” </w:t>
      </w:r>
      <w:r>
        <w:rPr>
          <w:rFonts w:ascii="Times New Roman" w:hAnsi="Times New Roman"/>
          <w:b w:val="false"/>
          <w:i w:val="false"/>
          <w:color w:val="000000"/>
          <w:sz w:val="22"/>
        </w:rPr>
        <w:t>means information relating to the testing laboratory and the analyses it performs that is prepared, owned, used, or retained by the laboratory and includes electronic files and video footage.</w:t>
      </w:r>
    </w:p>
    <w:p>
      <w:pPr>
        <w:spacing w:before="0" w:after="0"/>
        <w:ind w:left="120"/>
        <w:jc w:val="both"/>
      </w:pPr>
      <w:r>
        <w:rPr>
          <w:rFonts w:ascii="Times New Roman" w:hAnsi="Times New Roman"/>
          <w:b w:val="false"/>
          <w:i/>
          <w:color w:val="000000"/>
          <w:sz w:val="22"/>
        </w:rPr>
        <w:t xml:space="preserve">“THC”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“delta-9 THC” </w:t>
      </w:r>
      <w:r>
        <w:rPr>
          <w:rFonts w:ascii="Times New Roman" w:hAnsi="Times New Roman"/>
          <w:b w:val="false"/>
          <w:i w:val="false"/>
          <w:color w:val="000000"/>
          <w:sz w:val="22"/>
        </w:rPr>
        <w:t>means tetrahydrocannabinol, Chemical Abstracts Service number 1972-08-3.</w:t>
      </w:r>
    </w:p>
    <w:p>
      <w:pPr>
        <w:spacing w:before="0" w:after="0"/>
        <w:ind w:left="120"/>
        <w:jc w:val="both"/>
      </w:pPr>
      <w:r>
        <w:rPr>
          <w:rFonts w:ascii="Times New Roman" w:hAnsi="Times New Roman"/>
          <w:b w:val="false"/>
          <w:i/>
          <w:color w:val="000000"/>
          <w:sz w:val="22"/>
        </w:rPr>
        <w:t xml:space="preserve">“THCA” </w:t>
      </w:r>
      <w:r>
        <w:rPr>
          <w:rFonts w:ascii="Times New Roman" w:hAnsi="Times New Roman"/>
          <w:b w:val="false"/>
          <w:i w:val="false"/>
          <w:color w:val="000000"/>
          <w:sz w:val="22"/>
        </w:rPr>
        <w:t>means tetrahydrocannabinolic acid, Chemical Abstracts Service number 23978-85-0.</w:t>
      </w:r>
    </w:p>
    <w:p>
      <w:pPr>
        <w:spacing w:before="0" w:after="0"/>
        <w:ind w:left="120"/>
        <w:jc w:val="both"/>
      </w:pPr>
      <w:r>
        <w:rPr>
          <w:rFonts w:ascii="Times New Roman" w:hAnsi="Times New Roman"/>
          <w:b w:val="false"/>
          <w:i/>
          <w:color w:val="000000"/>
          <w:sz w:val="22"/>
        </w:rPr>
        <w:t xml:space="preserve">“Total tetrahydrocannabinol” </w:t>
      </w:r>
      <w:r>
        <w:rPr>
          <w:rFonts w:ascii="Times New Roman" w:hAnsi="Times New Roman"/>
          <w:b w:val="false"/>
          <w:i w:val="false"/>
          <w:color w:val="000000"/>
          <w:sz w:val="22"/>
        </w:rPr>
        <w:t>means 87.7 percent of the amount of tetrahydrocannabinolic acid plus the amount of tetrahydrocannabinol.</w:t>
      </w:r>
    </w:p>
    <w:p>
      <w:pPr>
        <w:spacing w:before="0" w:after="0"/>
        <w:ind w:left="120"/>
        <w:jc w:val="both"/>
      </w:pPr>
      <w:r>
        <w:rPr>
          <w:rFonts w:ascii="Times New Roman" w:hAnsi="Times New Roman"/>
          <w:b w:val="false"/>
          <w:i/>
          <w:color w:val="000000"/>
          <w:sz w:val="22"/>
        </w:rPr>
        <w:t xml:space="preserve">“Tracking number” </w:t>
      </w:r>
      <w:r>
        <w:rPr>
          <w:rFonts w:ascii="Times New Roman" w:hAnsi="Times New Roman"/>
          <w:b w:val="false"/>
          <w:i w:val="false"/>
          <w:color w:val="000000"/>
          <w:sz w:val="22"/>
        </w:rPr>
        <w:t>means the sales identification number assigned by a dispensary to a transaction at the time of the sale of a medical cannabidiol product.</w:t>
      </w:r>
    </w:p>
    <w:p>
      <w:pPr>
        <w:spacing w:before="0" w:after="0"/>
        <w:ind w:left="120"/>
        <w:jc w:val="both"/>
      </w:pPr>
      <w:r>
        <w:rPr>
          <w:rFonts w:ascii="Times New Roman" w:hAnsi="Times New Roman"/>
          <w:b w:val="false"/>
          <w:i/>
          <w:color w:val="000000"/>
          <w:sz w:val="22"/>
        </w:rPr>
        <w:t xml:space="preserve">“Trade name” </w:t>
      </w:r>
      <w:r>
        <w:rPr>
          <w:rFonts w:ascii="Times New Roman" w:hAnsi="Times New Roman"/>
          <w:b w:val="false"/>
          <w:i w:val="false"/>
          <w:color w:val="000000"/>
          <w:sz w:val="22"/>
        </w:rPr>
        <w:t xml:space="preserve">means the name that manufacturers give to a product or range of products. </w:t>
      </w:r>
    </w:p>
    <w:p>
      <w:pPr>
        <w:spacing w:before="0" w:after="0"/>
        <w:ind w:left="120"/>
        <w:jc w:val="both"/>
      </w:pPr>
      <w:r>
        <w:rPr>
          <w:rFonts w:ascii="Times New Roman" w:hAnsi="Times New Roman"/>
          <w:b w:val="false"/>
          <w:i/>
          <w:color w:val="000000"/>
          <w:sz w:val="22"/>
        </w:rPr>
        <w:t xml:space="preserve">“Validation” </w:t>
      </w:r>
      <w:r>
        <w:rPr>
          <w:rFonts w:ascii="Times New Roman" w:hAnsi="Times New Roman"/>
          <w:b w:val="false"/>
          <w:i w:val="false"/>
          <w:color w:val="000000"/>
          <w:sz w:val="22"/>
        </w:rPr>
        <w:t>means the confirmation by examination and objective evidence that the particular requirements for a specific intended use are fulfilled.</w:t>
      </w:r>
    </w:p>
    <w:p>
      <w:pPr>
        <w:spacing w:before="0" w:after="0"/>
        <w:ind w:left="120"/>
        <w:jc w:val="both"/>
      </w:pPr>
      <w:r>
        <w:rPr>
          <w:rFonts w:ascii="Times New Roman" w:hAnsi="Times New Roman"/>
          <w:b w:val="false"/>
          <w:i/>
          <w:color w:val="000000"/>
          <w:sz w:val="22"/>
        </w:rPr>
        <w:t xml:space="preserve">“Valid photo identification” </w:t>
      </w:r>
      <w:r>
        <w:rPr>
          <w:rFonts w:ascii="Times New Roman" w:hAnsi="Times New Roman"/>
          <w:b w:val="false"/>
          <w:i w:val="false"/>
          <w:color w:val="000000"/>
          <w:sz w:val="22"/>
        </w:rPr>
        <w:t>means any of the following for a patient or primary caregiver: (1) a valid Iowa driver’s license, (2) a valid Iowa nonoperator’s identification card, or (3) an alternative form of valid photo identification. An individual who possesses or is eligible for a driver’s license or a nonoperator’s identification card shall present such document as valid photo identification. An individual who is ineligible to obtain a driver’s license or a nonoperator’s identification card may apply for an exemption and request submission of an alternative form of valid photo identification. An individual who applies for an exemption is subject to verification of the primary caregiver’s identity through a process established by the department to ensure the genuineness, regularity, and legality of the alternative form of valid photo identification.</w:t>
      </w:r>
    </w:p>
    <w:p>
      <w:pPr>
        <w:spacing w:before="0" w:after="0"/>
        <w:ind w:left="120"/>
        <w:jc w:val="both"/>
      </w:pPr>
      <w:r>
        <w:rPr>
          <w:rFonts w:ascii="Times New Roman" w:hAnsi="Times New Roman"/>
          <w:b w:val="false"/>
          <w:i/>
          <w:color w:val="000000"/>
          <w:sz w:val="22"/>
        </w:rPr>
        <w:t xml:space="preserve">“Vaporization” </w:t>
      </w:r>
      <w:r>
        <w:rPr>
          <w:rFonts w:ascii="Times New Roman" w:hAnsi="Times New Roman"/>
          <w:b w:val="false"/>
          <w:i w:val="false"/>
          <w:color w:val="000000"/>
          <w:sz w:val="22"/>
        </w:rPr>
        <w:t>means the heating of a medical cannabidiol concentrate or extract to a specific temperature using a device. For the purposes of these rules, vaporization does not include raw or dried cannabis flower.</w:t>
      </w:r>
    </w:p>
    <w:p>
      <w:pPr>
        <w:spacing w:before="0" w:after="0"/>
        <w:ind w:left="120"/>
        <w:jc w:val="both"/>
      </w:pP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means a document signed by a health care practitioner, with whom the patient has established a patient-provider relationship, that states that the patient has a debilitating medical condition and identifies that condition and provides any other relevant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REGISTRATION CARDS</w:t>
      </w:r>
    </w:p>
    <w:p>
      <w:pPr>
        <w:spacing w:before="0" w:after="0"/>
        <w:ind w:left="120"/>
        <w:jc w:val="both"/>
      </w:pPr>
      <w:r>
        <w:rPr>
          <w:rFonts w:ascii="Times New Roman" w:hAnsi="Times New Roman"/>
          <w:b/>
          <w:i w:val="false"/>
          <w:color w:val="000000"/>
          <w:sz w:val="22"/>
        </w:rPr>
        <w:t>641—154.2</w:t>
      </w:r>
      <w:r>
        <w:rPr>
          <w:rFonts w:ascii="Times New Roman" w:hAnsi="Times New Roman"/>
          <w:b/>
          <w:i w:val="false"/>
          <w:color w:val="000000"/>
          <w:sz w:val="22"/>
        </w:rPr>
        <w:t xml:space="preserve">(124E) </w:t>
      </w:r>
      <w:r>
        <w:rPr>
          <w:rFonts w:ascii="Times New Roman" w:hAnsi="Times New Roman"/>
          <w:b/>
          <w:i w:val="false"/>
          <w:color w:val="000000"/>
          <w:sz w:val="22"/>
        </w:rPr>
        <w:t xml:space="preserve">Health care practitioner certification—duties and prohibitions. </w:t>
      </w:r>
    </w:p>
    <w:p>
      <w:pPr>
        <w:spacing w:before="0" w:after="0"/>
        <w:ind w:left="120"/>
        <w:jc w:val="both"/>
      </w:pPr>
      <w:r>
        <w:rPr>
          <w:rFonts w:ascii="Times New Roman" w:hAnsi="Times New Roman"/>
          <w:b/>
          <w:i w:val="false"/>
          <w:color w:val="000000"/>
          <w:sz w:val="22"/>
        </w:rPr>
        <w:t>154.2(1)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 patient’s submission of an application for a medical cannabidiol registration card pursuant to this rule, a health care practitioner shall follow all provisions of Iowa Code section </w:t>
      </w:r>
      <w:hyperlink r:id="rId19">
        <w:r>
          <w:rPr>
            <w:rStyle w:val="Hyperlink"/>
            <w:rFonts w:ascii="Times New Roman" w:hAnsi="Times New Roman"/>
            <w:b w:val="false"/>
            <w:i w:val="false"/>
            <w:color w:val="000000"/>
            <w:sz w:val="22"/>
          </w:rPr>
          <w:t>124E.3</w:t>
        </w:r>
      </w:hyperlink>
      <w:r>
        <w:rPr>
          <w:rFonts w:ascii="Times New Roman" w:hAnsi="Times New Roman"/>
          <w:b w:val="false"/>
          <w:i w:val="false"/>
          <w:color w:val="000000"/>
          <w:sz w:val="22"/>
        </w:rPr>
        <w:t>, this chapter and requests from the department for more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written documentation required by Iowa Code section </w:t>
      </w:r>
      <w:hyperlink r:id="rId20">
        <w:r>
          <w:rPr>
            <w:rStyle w:val="Hyperlink"/>
            <w:rFonts w:ascii="Times New Roman" w:hAnsi="Times New Roman"/>
            <w:b w:val="false"/>
            <w:i w:val="false"/>
            <w:color w:val="000000"/>
            <w:sz w:val="22"/>
          </w:rPr>
          <w:t>124E.3(1)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submitted on the application form at the department’s website.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Explanatory information pursuant to Iowa Code section </w:t>
      </w:r>
      <w:hyperlink r:id="rId21">
        <w:r>
          <w:rPr>
            <w:rStyle w:val="Hyperlink"/>
            <w:rFonts w:ascii="Times New Roman" w:hAnsi="Times New Roman"/>
            <w:b w:val="false"/>
            <w:i w:val="false"/>
            <w:color w:val="000000"/>
            <w:sz w:val="22"/>
          </w:rPr>
          <w:t>124E.3(1)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located at the department’s website. </w:t>
      </w:r>
    </w:p>
    <w:p>
      <w:pPr>
        <w:spacing w:before="0" w:after="0"/>
        <w:ind w:left="120"/>
        <w:jc w:val="both"/>
      </w:pPr>
      <w:r>
        <w:rPr>
          <w:rFonts w:ascii="Times New Roman" w:hAnsi="Times New Roman"/>
          <w:b/>
          <w:i w:val="false"/>
          <w:color w:val="000000"/>
          <w:sz w:val="22"/>
        </w:rPr>
        <w:t>154.2(2)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practitioner may make a written request to the department to rescind a written certification the practitioner previously provided, based on reasons deemed appropriate by the health care practitioner. </w:t>
      </w:r>
    </w:p>
    <w:p>
      <w:pPr>
        <w:spacing w:before="0" w:after="0"/>
        <w:ind w:left="120"/>
        <w:jc w:val="both"/>
      </w:pPr>
      <w:r>
        <w:rPr>
          <w:rFonts w:ascii="Times New Roman" w:hAnsi="Times New Roman"/>
          <w:b/>
          <w:i w:val="false"/>
          <w:color w:val="000000"/>
          <w:sz w:val="22"/>
        </w:rPr>
        <w:t>154.2(3)</w:t>
      </w:r>
      <w:r>
        <w:rPr>
          <w:rFonts w:ascii="Times New Roman" w:hAnsi="Times New Roman"/>
          <w:b w:val="false"/>
          <w:i w:val="false"/>
          <w:color w:val="000000"/>
          <w:sz w:val="22"/>
        </w:rPr>
        <w:t> </w:t>
      </w:r>
      <w:r>
        <w:rPr>
          <w:rFonts w:ascii="Times New Roman" w:hAnsi="Times New Roman"/>
          <w:b w:val="false"/>
          <w:i w:val="false"/>
          <w:color w:val="000000"/>
          <w:sz w:val="22"/>
        </w:rPr>
        <w:t>Health care practitioner prohibitions. A health care practitioner shall not: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Accept, solicit, or offer any form of remuneration from or to any individual, including but not limited to a patient, a primary caregiver, or an employee, investor, or owner of a manufacturer or dispensary for the purposes of: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Certifying a patient’s condition, other than accepting a fee for a patient consultation to determine if the patient should be issued a certification under Iowa Code chapter </w:t>
      </w:r>
      <w:hyperlink r:id="rId22">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Certifying an individual as a primary caregiver, other than accepting a fee for a consultation to determine if the individual is a necessary caretaker taking responsibility for managing the well-being of the patient with respect to the use of medical cannabidiol.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Advertise the certification of patients as one of the health care practitioner’s services.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Certify a qualifying debilitating medical condition for a patient who is the health care practitioner or a family or household member of the health care practitioner.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Be designated to act as a primary caregiver for a patient for whom the health care practitioner has certified a qualifying debilitating medical condition.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Receive or provide medical cannabidiol product samples.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card—application and issuance to patient. </w:t>
      </w:r>
    </w:p>
    <w:p>
      <w:pPr>
        <w:spacing w:before="0" w:after="0"/>
        <w:ind w:left="120"/>
        <w:jc w:val="both"/>
      </w:pPr>
      <w:r>
        <w:rPr>
          <w:rFonts w:ascii="Times New Roman" w:hAnsi="Times New Roman"/>
          <w:b/>
          <w:i w:val="false"/>
          <w:color w:val="000000"/>
          <w:sz w:val="22"/>
        </w:rPr>
        <w:t>154.3(1)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a registration card to a patient who meets the criteria listed at Iowa Code section </w:t>
      </w:r>
      <w:hyperlink r:id="rId23">
        <w:r>
          <w:rPr>
            <w:rStyle w:val="Hyperlink"/>
            <w:rFonts w:ascii="Times New Roman" w:hAnsi="Times New Roman"/>
            <w:b w:val="false"/>
            <w:i w:val="false"/>
            <w:color w:val="000000"/>
            <w:sz w:val="22"/>
          </w:rPr>
          <w:t>124E.4(1)</w:t>
        </w:r>
      </w:hyperlink>
      <w:r>
        <w:rPr>
          <w:rFonts w:ascii="Times New Roman" w:hAnsi="Times New Roman"/>
          <w:b w:val="false"/>
          <w:i w:val="false"/>
          <w:color w:val="000000"/>
          <w:sz w:val="22"/>
        </w:rPr>
        <w:t xml:space="preserve">. The application form is available on the department’s website. The department shall not approve an application that does not include the information requested on the application form. </w:t>
      </w:r>
    </w:p>
    <w:p>
      <w:pPr>
        <w:spacing w:before="0" w:after="0"/>
        <w:ind w:left="120"/>
        <w:jc w:val="both"/>
      </w:pPr>
      <w:r>
        <w:rPr>
          <w:rFonts w:ascii="Times New Roman" w:hAnsi="Times New Roman"/>
          <w:b/>
          <w:i w:val="false"/>
          <w:color w:val="000000"/>
          <w:sz w:val="22"/>
        </w:rPr>
        <w:t>154.3(2)</w:t>
      </w:r>
      <w:r>
        <w:rPr>
          <w:rFonts w:ascii="Times New Roman" w:hAnsi="Times New Roman"/>
          <w:b w:val="false"/>
          <w:i w:val="false"/>
          <w:color w:val="000000"/>
          <w:sz w:val="22"/>
        </w:rPr>
        <w:t> </w:t>
      </w:r>
      <w:r>
        <w:rPr>
          <w:rFonts w:ascii="Times New Roman" w:hAnsi="Times New Roman"/>
          <w:b w:val="false"/>
          <w:i w:val="false"/>
          <w:color w:val="000000"/>
          <w:sz w:val="22"/>
        </w:rPr>
        <w:t>Upon the completion, verification, and approval of the patient’s application and the receipt of the required fee, the department shall issue a registration card to the patient.</w:t>
      </w:r>
    </w:p>
    <w:p>
      <w:pPr>
        <w:spacing w:before="0" w:after="0"/>
        <w:ind w:left="120"/>
        <w:jc w:val="both"/>
      </w:pPr>
      <w:r>
        <w:rPr>
          <w:rFonts w:ascii="Times New Roman" w:hAnsi="Times New Roman"/>
          <w:b/>
          <w:i w:val="false"/>
          <w:color w:val="000000"/>
          <w:sz w:val="22"/>
        </w:rPr>
        <w:t>154.3(3)</w:t>
      </w:r>
      <w:r>
        <w:rPr>
          <w:rFonts w:ascii="Times New Roman" w:hAnsi="Times New Roman"/>
          <w:b w:val="false"/>
          <w:i w:val="false"/>
          <w:color w:val="000000"/>
          <w:sz w:val="22"/>
        </w:rPr>
        <w:t> </w:t>
      </w:r>
      <w:r>
        <w:rPr>
          <w:rFonts w:ascii="Times New Roman" w:hAnsi="Times New Roman"/>
          <w:b w:val="false"/>
          <w:i w:val="false"/>
          <w:color w:val="000000"/>
          <w:sz w:val="22"/>
        </w:rPr>
        <w:t>A registration card issued to a patient shall contain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patient’s full legal name, Iowa residence address, date of birth, and sex designation, as shown on the patient’s valid photo identification. If the patient’s information has changed since the issuance of the patient’s valid photo identification, the patient shall first update the patient’s valid identification to reflect the patient’s current information.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date of issuance and the date of expiration, which shall be one year from the date of issuance.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distinguishing registration number that is not the patient’s social security number.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statement that the registration card is not valid for identification purposes.</w:t>
      </w:r>
    </w:p>
    <w:p>
      <w:pPr>
        <w:spacing w:before="0" w:after="0"/>
        <w:ind w:left="120"/>
        <w:jc w:val="both"/>
      </w:pPr>
      <w:r>
        <w:rPr>
          <w:rFonts w:ascii="Times New Roman" w:hAnsi="Times New Roman"/>
          <w:b/>
          <w:i w:val="false"/>
          <w:color w:val="000000"/>
          <w:sz w:val="22"/>
        </w:rPr>
        <w:t>154.3(4)</w:t>
      </w:r>
      <w:r>
        <w:rPr>
          <w:rFonts w:ascii="Times New Roman" w:hAnsi="Times New Roman"/>
          <w:b w:val="false"/>
          <w:i w:val="false"/>
          <w:color w:val="000000"/>
          <w:sz w:val="22"/>
        </w:rPr>
        <w:t> </w:t>
      </w:r>
      <w:r>
        <w:rPr>
          <w:rFonts w:ascii="Times New Roman" w:hAnsi="Times New Roman"/>
          <w:b w:val="false"/>
          <w:i w:val="false"/>
          <w:color w:val="000000"/>
          <w:sz w:val="22"/>
        </w:rPr>
        <w:t>Every patient 18 years of age or older must obtain a valid registration card to use medical cannabidiol in Iowa.</w:t>
      </w:r>
    </w:p>
    <w:p>
      <w:pPr>
        <w:spacing w:before="0" w:after="0"/>
        <w:ind w:left="120"/>
        <w:jc w:val="both"/>
      </w:pPr>
      <w:r>
        <w:rPr>
          <w:rFonts w:ascii="Times New Roman" w:hAnsi="Times New Roman"/>
          <w:b/>
          <w:i w:val="false"/>
          <w:color w:val="000000"/>
          <w:sz w:val="22"/>
        </w:rPr>
        <w:t>154.3(5)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authorization to use medical cannabidiol or cannabis for medicinal purposes issued by another state, territory, or jurisdiction does not satisfy the requirements of Iowa Code chapter </w:t>
      </w:r>
      <w:hyperlink r:id="rId24">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is not a valid registration card for purposes of purchasing medical cannabidiol at dispensaries in Iowa.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card—reciprocity. </w:t>
      </w:r>
      <w:r>
        <w:rPr>
          <w:rFonts w:ascii="Times New Roman" w:hAnsi="Times New Roman"/>
          <w:b w:val="false"/>
          <w:i w:val="false"/>
          <w:color w:val="000000"/>
          <w:sz w:val="22"/>
        </w:rPr>
        <w:t xml:space="preserve">A medical cannabidiol registration card shall hold reciprocity with other states pursuant to Iowa Code section </w:t>
      </w:r>
      <w:hyperlink r:id="rId25">
        <w:r>
          <w:rPr>
            <w:rStyle w:val="Hyperlink"/>
            <w:rFonts w:ascii="Times New Roman" w:hAnsi="Times New Roman"/>
            <w:b w:val="false"/>
            <w:i w:val="false"/>
            <w:color w:val="000000"/>
            <w:sz w:val="22"/>
          </w:rPr>
          <w:t>124E.18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154.4(1)</w:t>
      </w:r>
      <w:r>
        <w:rPr>
          <w:rFonts w:ascii="Times New Roman" w:hAnsi="Times New Roman"/>
          <w:b w:val="false"/>
          <w:i w:val="false"/>
          <w:color w:val="000000"/>
          <w:sz w:val="22"/>
        </w:rPr>
        <w:t> </w:t>
      </w:r>
      <w:r>
        <w:rPr>
          <w:rFonts w:ascii="Times New Roman" w:hAnsi="Times New Roman"/>
          <w:b w:val="false"/>
          <w:i w:val="false"/>
          <w:color w:val="000000"/>
          <w:sz w:val="22"/>
        </w:rPr>
        <w:t>A patient with a valid registration card from another state or jurisdiction shall maintain the affirmative defense for possession of medical cannabidiol, provided the form of cannabis product in the patient’s possession is allowable in Iowa.</w:t>
      </w:r>
    </w:p>
    <w:p>
      <w:pPr>
        <w:spacing w:before="0" w:after="0"/>
        <w:ind w:left="120"/>
        <w:jc w:val="both"/>
      </w:pPr>
      <w:r>
        <w:rPr>
          <w:rFonts w:ascii="Times New Roman" w:hAnsi="Times New Roman"/>
          <w:b/>
          <w:i w:val="false"/>
          <w:color w:val="000000"/>
          <w:sz w:val="22"/>
        </w:rPr>
        <w:t>154.4(2)</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with a valid registration card under the laws of another state or jurisdiction has no affirmative defense for medical cannabidiol if the cannabis product in the patient’s possession is prohibited in Iowa. Prohibited forms of medical cannabidiol include: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Raw cannabis flower that may be combusted or smoked;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Edible products with a total THC concentration greater than 0.3 percent that is not a consumable hemp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w:t>
      </w:r>
      <w:r>
        <w:rPr>
          <w:rFonts w:ascii="Times New Roman" w:hAnsi="Times New Roman"/>
          <w:b/>
          <w:i w:val="false"/>
          <w:color w:val="000000"/>
          <w:sz w:val="22"/>
        </w:rPr>
        <w:t xml:space="preserve">(124E) </w:t>
      </w:r>
      <w:r>
        <w:rPr>
          <w:rFonts w:ascii="Times New Roman" w:hAnsi="Times New Roman"/>
          <w:b/>
          <w:i w:val="false"/>
          <w:color w:val="000000"/>
          <w:sz w:val="22"/>
        </w:rPr>
        <w:t xml:space="preserve">Medical cannabidiol registration card—application and issuance to primary caregiver. </w:t>
      </w:r>
    </w:p>
    <w:p>
      <w:pPr>
        <w:spacing w:before="0" w:after="0"/>
        <w:ind w:left="120"/>
        <w:jc w:val="both"/>
      </w:pPr>
      <w:r>
        <w:rPr>
          <w:rFonts w:ascii="Times New Roman" w:hAnsi="Times New Roman"/>
          <w:b/>
          <w:i w:val="false"/>
          <w:color w:val="000000"/>
          <w:sz w:val="22"/>
        </w:rPr>
        <w:t>154.5(1)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patient in a primary caregiver’s care, the department may issue a registration card to a primary caregiver who meets the criteria listed at Iowa Code section </w:t>
      </w:r>
      <w:hyperlink r:id="rId26">
        <w:r>
          <w:rPr>
            <w:rStyle w:val="Hyperlink"/>
            <w:rFonts w:ascii="Times New Roman" w:hAnsi="Times New Roman"/>
            <w:b w:val="false"/>
            <w:i w:val="false"/>
            <w:color w:val="000000"/>
            <w:sz w:val="22"/>
          </w:rPr>
          <w:t>124E.4(3)</w:t>
        </w:r>
      </w:hyperlink>
      <w:r>
        <w:rPr>
          <w:rFonts w:ascii="Times New Roman" w:hAnsi="Times New Roman"/>
          <w:b w:val="false"/>
          <w:i w:val="false"/>
          <w:color w:val="000000"/>
          <w:sz w:val="22"/>
        </w:rPr>
        <w:t>. The application form is available on the department’s website. The department shall not approve an application that does not include the information requested on the application form.</w:t>
      </w:r>
    </w:p>
    <w:p>
      <w:pPr>
        <w:spacing w:before="0" w:after="0"/>
        <w:ind w:left="120"/>
        <w:jc w:val="both"/>
      </w:pPr>
      <w:r>
        <w:rPr>
          <w:rFonts w:ascii="Times New Roman" w:hAnsi="Times New Roman"/>
          <w:b/>
          <w:i w:val="false"/>
          <w:color w:val="000000"/>
          <w:sz w:val="22"/>
        </w:rPr>
        <w:t>154.5(2)</w:t>
      </w:r>
      <w:r>
        <w:rPr>
          <w:rFonts w:ascii="Times New Roman" w:hAnsi="Times New Roman"/>
          <w:b w:val="false"/>
          <w:i w:val="false"/>
          <w:color w:val="000000"/>
          <w:sz w:val="22"/>
        </w:rPr>
        <w:t> </w:t>
      </w:r>
      <w:r>
        <w:rPr>
          <w:rFonts w:ascii="Times New Roman" w:hAnsi="Times New Roman"/>
          <w:b w:val="false"/>
          <w:i w:val="false"/>
          <w:color w:val="000000"/>
          <w:sz w:val="22"/>
        </w:rPr>
        <w:t>Upon the completion, verification, and approval of the primary caregiver’s application, the department shall issue a registration card to the primary caregiver.</w:t>
      </w:r>
    </w:p>
    <w:p>
      <w:pPr>
        <w:spacing w:before="0" w:after="0"/>
        <w:ind w:left="120"/>
        <w:jc w:val="both"/>
      </w:pPr>
      <w:r>
        <w:rPr>
          <w:rFonts w:ascii="Times New Roman" w:hAnsi="Times New Roman"/>
          <w:b/>
          <w:i w:val="false"/>
          <w:color w:val="000000"/>
          <w:sz w:val="22"/>
        </w:rPr>
        <w:t>154.5(3)</w:t>
      </w:r>
      <w:r>
        <w:rPr>
          <w:rFonts w:ascii="Times New Roman" w:hAnsi="Times New Roman"/>
          <w:b w:val="false"/>
          <w:i w:val="false"/>
          <w:color w:val="000000"/>
          <w:sz w:val="22"/>
        </w:rPr>
        <w:t> </w:t>
      </w:r>
      <w:r>
        <w:rPr>
          <w:rFonts w:ascii="Times New Roman" w:hAnsi="Times New Roman"/>
          <w:b w:val="false"/>
          <w:i w:val="false"/>
          <w:color w:val="000000"/>
          <w:sz w:val="22"/>
        </w:rPr>
        <w:t>A registration card issued to a primary caregiver shall contain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primary caregiver’s full legal name, current residence address, date of birth, and sex designation, as shown on the primary caregiver’s valid photo identification. If the primary caregiver’s information has changed since issuance of the primary caregiver’s valid photo identification, the primary caregiver shall first update the primary caregiver’s valid photo identification to reflect the primary caregiver’s current information.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date of issuance and the date of expiration, which shall be one year from the date of issuance.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distinguishing registration number that is not the primary caregiver’s social security number.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registration number for each patient in the primary caregiver’s care. This number shall not be the primary caregiver’s or patient’s social security number. If the patient in the primary caregiver’s care is under the age of 18, the full name of the patient’s parent or legal guardian shall be printed on the primary caregiver’s registration card in lieu of the patient’s registration number.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statement that the registration card is not valid for identification purposes.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 statement distinguishing the registration cardholder as a primary caregiver.</w:t>
      </w:r>
    </w:p>
    <w:p>
      <w:pPr>
        <w:spacing w:before="0" w:after="0"/>
        <w:ind w:left="120"/>
        <w:jc w:val="both"/>
      </w:pPr>
      <w:r>
        <w:rPr>
          <w:rFonts w:ascii="Times New Roman" w:hAnsi="Times New Roman"/>
          <w:b/>
          <w:i w:val="false"/>
          <w:color w:val="000000"/>
          <w:sz w:val="22"/>
        </w:rPr>
        <w:t>154.5(4)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authorization to use, or to act as a primary caregiver for a patient authorized to use, medical cannabidiol or cannabis for medicinal purposes issued by another state, territory, or jurisdiction does not satisfy the requirements of Iowa Code chapter </w:t>
      </w:r>
      <w:hyperlink r:id="rId27">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is not a valid registration card for purposes of purchasing medical cannabidiol at dispensaries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641—154.6</w:t>
      </w:r>
      <w:r>
        <w:rPr>
          <w:rFonts w:ascii="Times New Roman" w:hAnsi="Times New Roman"/>
          <w:b/>
          <w:i w:val="false"/>
          <w:color w:val="000000"/>
          <w:sz w:val="22"/>
        </w:rPr>
        <w:t xml:space="preserve">(124E) </w:t>
      </w:r>
      <w:r>
        <w:rPr>
          <w:rFonts w:ascii="Times New Roman" w:hAnsi="Times New Roman"/>
          <w:b/>
          <w:i w:val="false"/>
          <w:color w:val="000000"/>
          <w:sz w:val="22"/>
        </w:rPr>
        <w:t xml:space="preserve">Denial and cancellation. </w:t>
      </w:r>
      <w:r>
        <w:rPr>
          <w:rFonts w:ascii="Times New Roman" w:hAnsi="Times New Roman"/>
          <w:b w:val="false"/>
          <w:i w:val="false"/>
          <w:color w:val="000000"/>
          <w:sz w:val="22"/>
        </w:rPr>
        <w:t>The department may deny an application for a registration card, or may cancel a registration card, for any of the following reasons:</w:t>
      </w:r>
    </w:p>
    <w:p>
      <w:pPr>
        <w:numPr>
          <w:ilvl w:val="0"/>
          <w:numId w:val="9"/>
        </w:numPr>
        <w:spacing w:before="0" w:after="0"/>
        <w:jc w:val="both"/>
      </w:pPr>
      <w:r>
        <w:rPr>
          <w:rFonts w:ascii="Times New Roman" w:hAnsi="Times New Roman"/>
          <w:b w:val="false"/>
          <w:i w:val="false"/>
          <w:color w:val="000000"/>
          <w:sz w:val="22"/>
        </w:rPr>
        <w:t>Information contained in the application is illegible, incomplete, falsified, misleading, deceptive, or untrue.</w:t>
      </w:r>
    </w:p>
    <w:p>
      <w:pPr>
        <w:numPr>
          <w:ilvl w:val="0"/>
          <w:numId w:val="9"/>
        </w:numPr>
        <w:spacing w:before="0" w:after="0"/>
        <w:jc w:val="both"/>
      </w:pPr>
      <w:r>
        <w:rPr>
          <w:rFonts w:ascii="Times New Roman" w:hAnsi="Times New Roman"/>
          <w:b w:val="false"/>
          <w:i w:val="false"/>
          <w:color w:val="000000"/>
          <w:sz w:val="22"/>
        </w:rPr>
        <w:t xml:space="preserve">The department is unable to verify the identity of the applicant from the photo identification or other documentation presented during application. </w:t>
      </w:r>
    </w:p>
    <w:p>
      <w:pPr>
        <w:numPr>
          <w:ilvl w:val="0"/>
          <w:numId w:val="9"/>
        </w:numPr>
        <w:spacing w:before="0" w:after="0"/>
        <w:jc w:val="both"/>
      </w:pPr>
      <w:r>
        <w:rPr>
          <w:rFonts w:ascii="Times New Roman" w:hAnsi="Times New Roman"/>
          <w:b w:val="false"/>
          <w:i w:val="false"/>
          <w:color w:val="000000"/>
          <w:sz w:val="22"/>
        </w:rPr>
        <w:t>The department has reasonable belief, or proof, that the patient is engaged in diversion of medical cannabidiol.</w:t>
      </w:r>
    </w:p>
    <w:p>
      <w:pPr>
        <w:numPr>
          <w:ilvl w:val="0"/>
          <w:numId w:val="9"/>
        </w:numPr>
        <w:spacing w:before="0" w:after="0"/>
        <w:jc w:val="both"/>
      </w:pPr>
      <w:r>
        <w:rPr>
          <w:rFonts w:ascii="Times New Roman" w:hAnsi="Times New Roman"/>
          <w:b w:val="false"/>
          <w:i w:val="false"/>
          <w:color w:val="000000"/>
          <w:sz w:val="22"/>
        </w:rPr>
        <w:t xml:space="preserve">The applicant violates or fails to satisfy any of the provisions of Iowa Code chapter </w:t>
      </w:r>
      <w:hyperlink r:id="rId2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w:t>
      </w:r>
    </w:p>
    <w:p>
      <w:pPr>
        <w:numPr>
          <w:ilvl w:val="0"/>
          <w:numId w:val="9"/>
        </w:numPr>
        <w:spacing w:before="0" w:after="0"/>
        <w:jc w:val="both"/>
      </w:pPr>
      <w:r>
        <w:rPr>
          <w:rFonts w:ascii="Times New Roman" w:hAnsi="Times New Roman"/>
          <w:b w:val="false"/>
          <w:i w:val="false"/>
          <w:color w:val="000000"/>
          <w:sz w:val="22"/>
        </w:rPr>
        <w:t>A patient, the patient’s legal guardian, or other person with durable power of attorney requests in writing that the department cancel the patient’s registration card. The department shall notify a primary caregiver in writing when the registration card of the primary caregiver’s patient has been canceled.</w:t>
      </w:r>
    </w:p>
    <w:p>
      <w:pPr>
        <w:numPr>
          <w:ilvl w:val="0"/>
          <w:numId w:val="9"/>
        </w:numPr>
        <w:spacing w:before="0" w:after="0"/>
        <w:jc w:val="both"/>
      </w:pPr>
      <w:r>
        <w:rPr>
          <w:rFonts w:ascii="Times New Roman" w:hAnsi="Times New Roman"/>
          <w:b w:val="false"/>
          <w:i w:val="false"/>
          <w:color w:val="000000"/>
          <w:sz w:val="22"/>
        </w:rPr>
        <w:t>A primary caregiver requests in writing that the department cancel the primary caregiver’s registration card. The department shall notify a patient in writing when the registration card of the patient’s primary caregiver has been canceled.</w:t>
      </w:r>
    </w:p>
    <w:p>
      <w:pPr>
        <w:numPr>
          <w:ilvl w:val="0"/>
          <w:numId w:val="9"/>
        </w:numPr>
        <w:spacing w:before="0" w:after="0"/>
        <w:jc w:val="both"/>
      </w:pPr>
      <w:r>
        <w:rPr>
          <w:rFonts w:ascii="Times New Roman" w:hAnsi="Times New Roman"/>
          <w:b w:val="false"/>
          <w:i w:val="false"/>
          <w:color w:val="000000"/>
          <w:sz w:val="22"/>
        </w:rPr>
        <w:t>The department becomes aware of the death of a patient or primary caregiver.</w:t>
      </w:r>
    </w:p>
    <w:p>
      <w:pPr>
        <w:numPr>
          <w:ilvl w:val="0"/>
          <w:numId w:val="9"/>
        </w:numPr>
        <w:spacing w:before="0" w:after="0"/>
        <w:jc w:val="both"/>
      </w:pPr>
      <w:r>
        <w:rPr>
          <w:rFonts w:ascii="Times New Roman" w:hAnsi="Times New Roman"/>
          <w:b w:val="false"/>
          <w:i w:val="false"/>
          <w:color w:val="000000"/>
          <w:sz w:val="22"/>
        </w:rPr>
        <w:t>A health care practitioner requests in writing that the department rescind the written certification the practitioner provided to a patient or caregiver.</w:t>
      </w:r>
    </w:p>
    <w:p>
      <w:pPr>
        <w:numPr>
          <w:ilvl w:val="0"/>
          <w:numId w:val="9"/>
        </w:numPr>
        <w:spacing w:before="0" w:after="0"/>
        <w:jc w:val="both"/>
      </w:pPr>
      <w:r>
        <w:rPr>
          <w:rFonts w:ascii="Times New Roman" w:hAnsi="Times New Roman"/>
          <w:b w:val="false"/>
          <w:i w:val="false"/>
          <w:color w:val="000000"/>
          <w:sz w:val="22"/>
        </w:rPr>
        <w:t>A patient requests in writing that the department cancel the patient’s primary caregiver’s registration card.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641—154.7</w:t>
      </w:r>
      <w:r>
        <w:rPr>
          <w:rFonts w:ascii="Times New Roman" w:hAnsi="Times New Roman"/>
          <w:b/>
          <w:i w:val="false"/>
          <w:color w:val="000000"/>
          <w:sz w:val="22"/>
        </w:rPr>
        <w:t xml:space="preserve">(124E)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i w:val="false"/>
          <w:color w:val="000000"/>
          <w:sz w:val="22"/>
        </w:rPr>
        <w:t>154.7(1)</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denial or cancellation. </w:t>
      </w:r>
      <w:r>
        <w:rPr>
          <w:rFonts w:ascii="Times New Roman" w:hAnsi="Times New Roman"/>
          <w:b w:val="false"/>
          <w:i w:val="false"/>
          <w:color w:val="000000"/>
          <w:sz w:val="22"/>
        </w:rPr>
        <w:t>If the department denies an application for or cancels a registration card, the department shall inform the applicant or cardholder of the denial or cancellation, state the reasons for the denial or cancellation in writing, and state the effective date of the denial or cancellation. If the department cancels a card upon request from a patient or primary caregiver, or the department becomes aware of the death of a patient or primary caregiver, the cancellation is effective immediately upon issuance of the written notice of cancellation. If the department cancels a card upon any other ground listed, the cancellation shall become effective 30 days following issuance of the written notice of cancellation.</w:t>
      </w:r>
    </w:p>
    <w:p>
      <w:pPr>
        <w:spacing w:before="0" w:after="0"/>
        <w:ind w:left="120"/>
        <w:jc w:val="both"/>
      </w:pPr>
      <w:r>
        <w:rPr>
          <w:rFonts w:ascii="Times New Roman" w:hAnsi="Times New Roman"/>
          <w:b/>
          <w:i w:val="false"/>
          <w:color w:val="000000"/>
          <w:sz w:val="22"/>
        </w:rPr>
        <w:t>154.7(2)</w:t>
      </w:r>
      <w:r>
        <w:rPr>
          <w:rFonts w:ascii="Times New Roman" w:hAnsi="Times New Roman"/>
          <w:b w:val="false"/>
          <w:i w:val="false"/>
          <w:color w:val="000000"/>
          <w:sz w:val="22"/>
        </w:rPr>
        <w:t> </w:t>
      </w:r>
      <w:r>
        <w:rPr>
          <w:rFonts w:ascii="Times New Roman" w:hAnsi="Times New Roman"/>
          <w:b w:val="false"/>
          <w:i/>
          <w:color w:val="000000"/>
          <w:sz w:val="22"/>
        </w:rPr>
        <w:t xml:space="preserve">Effect of written notice of cancellation on use and possession of medical cannabidiol. </w:t>
      </w:r>
      <w:r>
        <w:rPr>
          <w:rFonts w:ascii="Times New Roman" w:hAnsi="Times New Roman"/>
          <w:b w:val="false"/>
          <w:i w:val="false"/>
          <w:color w:val="000000"/>
          <w:sz w:val="22"/>
        </w:rPr>
        <w:t xml:space="preserve">A cardholder is authorized to purchase, possess, and use medical cannabidiol up to and including the effective date of the cancellation. For purposes of the affirmative defenses in Iowa Code section </w:t>
      </w:r>
      <w:hyperlink r:id="rId29">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a patient or primary caregiver shall be deemed to be in possession of a valid registration card up to and including the effective date of the cancellation.</w:t>
      </w:r>
    </w:p>
    <w:p>
      <w:pPr>
        <w:spacing w:before="0" w:after="0"/>
        <w:ind w:left="120"/>
        <w:jc w:val="both"/>
      </w:pPr>
      <w:r>
        <w:rPr>
          <w:rFonts w:ascii="Times New Roman" w:hAnsi="Times New Roman"/>
          <w:b/>
          <w:i w:val="false"/>
          <w:color w:val="000000"/>
          <w:sz w:val="22"/>
        </w:rPr>
        <w:t>154.7(3)</w:t>
      </w:r>
      <w:r>
        <w:rPr>
          <w:rFonts w:ascii="Times New Roman" w:hAnsi="Times New Roman"/>
          <w:b w:val="false"/>
          <w:i w:val="false"/>
          <w:color w:val="000000"/>
          <w:sz w:val="22"/>
        </w:rPr>
        <w:t> </w:t>
      </w:r>
      <w:r>
        <w:rPr>
          <w:rFonts w:ascii="Times New Roman" w:hAnsi="Times New Roman"/>
          <w:b w:val="false"/>
          <w:i/>
          <w:color w:val="000000"/>
          <w:sz w:val="22"/>
        </w:rPr>
        <w:t xml:space="preserve">Request for appeal. </w:t>
      </w:r>
      <w:r>
        <w:rPr>
          <w:rFonts w:ascii="Times New Roman" w:hAnsi="Times New Roman"/>
          <w:b w:val="false"/>
          <w:i w:val="false"/>
          <w:color w:val="000000"/>
          <w:sz w:val="22"/>
        </w:rPr>
        <w:t xml:space="preserve">A request for appeal concerning the denial or cancellation of a registration card shall be submitted pursuant to the provisions of </w:t>
      </w:r>
      <w:hyperlink r:id="rId30">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In the event of a timely appeal, cancellation of the card shall be deemed to be suspended pending the outcome of the contested case proceeding. If the cancellation is affirmed following the contested case proceeding, the card cancellation shall become effective 30 days following issuance of the department’s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641—154.8</w:t>
      </w:r>
      <w:r>
        <w:rPr>
          <w:rFonts w:ascii="Times New Roman" w:hAnsi="Times New Roman"/>
          <w:b/>
          <w:i w:val="false"/>
          <w:color w:val="000000"/>
          <w:sz w:val="22"/>
        </w:rPr>
        <w:t xml:space="preserve">(124E) </w:t>
      </w:r>
      <w:r>
        <w:rPr>
          <w:rFonts w:ascii="Times New Roman" w:hAnsi="Times New Roman"/>
          <w:b/>
          <w:i w:val="false"/>
          <w:color w:val="000000"/>
          <w:sz w:val="22"/>
        </w:rPr>
        <w:t xml:space="preserve">Duplicate card. </w:t>
      </w:r>
    </w:p>
    <w:p>
      <w:pPr>
        <w:spacing w:before="0" w:after="0"/>
        <w:ind w:left="120"/>
        <w:jc w:val="both"/>
      </w:pPr>
      <w:r>
        <w:rPr>
          <w:rFonts w:ascii="Times New Roman" w:hAnsi="Times New Roman"/>
          <w:b/>
          <w:i w:val="false"/>
          <w:color w:val="000000"/>
          <w:sz w:val="22"/>
        </w:rPr>
        <w:t>154.8(1)</w:t>
      </w:r>
      <w:r>
        <w:rPr>
          <w:rFonts w:ascii="Times New Roman" w:hAnsi="Times New Roman"/>
          <w:b w:val="false"/>
          <w:i w:val="false"/>
          <w:color w:val="000000"/>
          <w:sz w:val="22"/>
        </w:rPr>
        <w:t> </w:t>
      </w:r>
      <w:r>
        <w:rPr>
          <w:rFonts w:ascii="Times New Roman" w:hAnsi="Times New Roman"/>
          <w:b w:val="false"/>
          <w:i/>
          <w:color w:val="000000"/>
          <w:sz w:val="22"/>
        </w:rPr>
        <w:t xml:space="preserve">Lost, stolen, or destroyed card. </w:t>
      </w:r>
      <w:r>
        <w:rPr>
          <w:rFonts w:ascii="Times New Roman" w:hAnsi="Times New Roman"/>
          <w:b w:val="false"/>
          <w:i w:val="false"/>
          <w:color w:val="000000"/>
          <w:sz w:val="22"/>
        </w:rPr>
        <w:t xml:space="preserve">To replace a registration card that is lost, stolen, or destroyed, a cardholder shall present to the department the cardholder’s valid photo identification that was provided at the time of application. </w:t>
      </w:r>
    </w:p>
    <w:p>
      <w:pPr>
        <w:spacing w:before="0" w:after="0"/>
        <w:ind w:left="120"/>
        <w:jc w:val="both"/>
      </w:pPr>
      <w:r>
        <w:rPr>
          <w:rFonts w:ascii="Times New Roman" w:hAnsi="Times New Roman"/>
          <w:b/>
          <w:i w:val="false"/>
          <w:color w:val="000000"/>
          <w:sz w:val="22"/>
        </w:rPr>
        <w:t>154.8(2)</w:t>
      </w:r>
      <w:r>
        <w:rPr>
          <w:rFonts w:ascii="Times New Roman" w:hAnsi="Times New Roman"/>
          <w:b w:val="false"/>
          <w:i w:val="false"/>
          <w:color w:val="000000"/>
          <w:sz w:val="22"/>
        </w:rPr>
        <w:t> </w:t>
      </w:r>
      <w:r>
        <w:rPr>
          <w:rFonts w:ascii="Times New Roman" w:hAnsi="Times New Roman"/>
          <w:b w:val="false"/>
          <w:i/>
          <w:color w:val="000000"/>
          <w:sz w:val="22"/>
        </w:rPr>
        <w:t xml:space="preserve">Change in card information and voluntary replacement.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To replace a registration card that is damaged, the cardholder shall surrender the card to be replaced to the department and present the cardholder’s valid photo identification that was provided at the time of application.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patient or primary caregiver to whom a registration card is issued shall notify the department of a change in information listed on the card, within ten calendar days of the change. To replace a registration card to change the patient or primary caregiver’s information, the cardholder shall surrender the card to be replaced to the department and present the patient or primary caregiver’s updated valid photo identification.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To replace a registration card held by a primary caregiver to change, add, or remove a patient’s registration number or the name of a patient’s parent or legal guardian listed on the primary caregiver’s card, the primary caregiver shall submit a new application to the department pursuant to rule </w:t>
      </w:r>
      <w:hyperlink r:id="rId31">
        <w:r>
          <w:rPr>
            <w:rStyle w:val="Hyperlink"/>
            <w:rFonts w:ascii="Times New Roman" w:hAnsi="Times New Roman"/>
            <w:b w:val="false"/>
            <w:i w:val="false"/>
            <w:color w:val="000000"/>
            <w:sz w:val="22"/>
          </w:rPr>
          <w:t>641—154.5</w:t>
        </w:r>
      </w:hyperlink>
      <w:r>
        <w:rPr>
          <w:rFonts w:ascii="Times New Roman" w:hAnsi="Times New Roman"/>
          <w:b w:val="false"/>
          <w:i w:val="false"/>
          <w:color w:val="000000"/>
          <w:sz w:val="22"/>
        </w:rPr>
        <w:t>(124E). A registration card issued pursuant to this paragraph shall not be considered a duplicate card.</w:t>
      </w:r>
    </w:p>
    <w:p>
      <w:pPr>
        <w:spacing w:before="0" w:after="0"/>
        <w:ind w:left="120"/>
        <w:jc w:val="both"/>
      </w:pPr>
      <w:r>
        <w:rPr>
          <w:rFonts w:ascii="Times New Roman" w:hAnsi="Times New Roman"/>
          <w:b/>
          <w:i w:val="false"/>
          <w:color w:val="000000"/>
          <w:sz w:val="22"/>
        </w:rPr>
        <w:t>154.8(3)</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 xml:space="preserve">A duplicate registration card shall have the same expiration date as the registration card being replaced, changed, or amended.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641—154.9</w:t>
      </w:r>
      <w:r>
        <w:rPr>
          <w:rFonts w:ascii="Times New Roman" w:hAnsi="Times New Roman"/>
          <w:b/>
          <w:i w:val="false"/>
          <w:color w:val="000000"/>
          <w:sz w:val="22"/>
        </w:rPr>
        <w:t xml:space="preserve">(124E) </w:t>
      </w:r>
      <w:r>
        <w:rPr>
          <w:rFonts w:ascii="Times New Roman" w:hAnsi="Times New Roman"/>
          <w:b/>
          <w:i w:val="false"/>
          <w:color w:val="000000"/>
          <w:sz w:val="22"/>
        </w:rPr>
        <w:t xml:space="preserve">Renewal. </w:t>
      </w:r>
      <w:r>
        <w:rPr>
          <w:rFonts w:ascii="Times New Roman" w:hAnsi="Times New Roman"/>
          <w:b w:val="false"/>
          <w:i w:val="false"/>
          <w:color w:val="000000"/>
          <w:sz w:val="22"/>
        </w:rPr>
        <w:t xml:space="preserve">A registration card shall be valid for one year from the date of issuance, unless canceled. Renewal of a registration card will follow the application and issuance rules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641—154.10</w:t>
      </w:r>
      <w:r>
        <w:rPr>
          <w:rFonts w:ascii="Times New Roman" w:hAnsi="Times New Roman"/>
          <w:b/>
          <w:i w:val="false"/>
          <w:color w:val="000000"/>
          <w:sz w:val="22"/>
        </w:rPr>
        <w:t xml:space="preserve">(124E)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department will follow the confidentiality provisions in Iowa Code section </w:t>
      </w:r>
      <w:hyperlink r:id="rId32">
        <w:r>
          <w:rPr>
            <w:rStyle w:val="Hyperlink"/>
            <w:rFonts w:ascii="Times New Roman" w:hAnsi="Times New Roman"/>
            <w:b w:val="false"/>
            <w:i w:val="false"/>
            <w:color w:val="000000"/>
            <w:sz w:val="22"/>
          </w:rPr>
          <w:t>124E.11(1)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154.10(1)</w:t>
      </w:r>
      <w:r>
        <w:rPr>
          <w:rFonts w:ascii="Times New Roman" w:hAnsi="Times New Roman"/>
          <w:b w:val="false"/>
          <w:i w:val="false"/>
          <w:color w:val="000000"/>
          <w:sz w:val="22"/>
        </w:rPr>
        <w:t> </w:t>
      </w:r>
      <w:r>
        <w:rPr>
          <w:rFonts w:ascii="Times New Roman" w:hAnsi="Times New Roman"/>
          <w:b w:val="false"/>
          <w:i w:val="false"/>
          <w:color w:val="000000"/>
          <w:sz w:val="22"/>
        </w:rPr>
        <w:t>Personally identifiable information of patients and primary caregivers will be maintained as confidential and is not accessible to the public. The department will release aggregate and statistical information regarding the registration card program in a manner that prevents the identification of any patient or primary caregiver.</w:t>
      </w:r>
    </w:p>
    <w:p>
      <w:pPr>
        <w:spacing w:before="0" w:after="0"/>
        <w:ind w:left="120"/>
        <w:jc w:val="both"/>
      </w:pPr>
      <w:r>
        <w:rPr>
          <w:rFonts w:ascii="Times New Roman" w:hAnsi="Times New Roman"/>
          <w:b/>
          <w:i w:val="false"/>
          <w:color w:val="000000"/>
          <w:sz w:val="22"/>
        </w:rPr>
        <w:t>154.10(2)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of patients and primary caregivers may be disclosed only pursuant to Iowa Code section </w:t>
      </w:r>
      <w:hyperlink r:id="rId33">
        <w:r>
          <w:rPr>
            <w:rStyle w:val="Hyperlink"/>
            <w:rFonts w:ascii="Times New Roman" w:hAnsi="Times New Roman"/>
            <w:b w:val="false"/>
            <w:i w:val="false"/>
            <w:color w:val="000000"/>
            <w:sz w:val="22"/>
          </w:rPr>
          <w:t>124E.11(1)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to a patient, primary caregiver, or health care practitioner, upon written authorization of the patient or primary caregiver.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641—154.11</w:t>
      </w:r>
      <w:r>
        <w:rPr>
          <w:rFonts w:ascii="Times New Roman" w:hAnsi="Times New Roman"/>
          <w:b/>
          <w:i w:val="false"/>
          <w:color w:val="000000"/>
          <w:sz w:val="22"/>
        </w:rPr>
        <w:t xml:space="preserve">(124E) </w:t>
      </w:r>
      <w:r>
        <w:rPr>
          <w:rFonts w:ascii="Times New Roman" w:hAnsi="Times New Roman"/>
          <w:b/>
          <w:i w:val="false"/>
          <w:color w:val="000000"/>
          <w:sz w:val="22"/>
        </w:rPr>
        <w:t xml:space="preserve">Fees. </w:t>
      </w:r>
      <w:r>
        <w:rPr>
          <w:rFonts w:ascii="Times New Roman" w:hAnsi="Times New Roman"/>
          <w:b w:val="false"/>
          <w:i w:val="false"/>
          <w:color w:val="000000"/>
          <w:sz w:val="22"/>
        </w:rPr>
        <w:t xml:space="preserve">All fees are nonrefundable. Application fees are established in Iowa Code section </w:t>
      </w:r>
      <w:hyperlink r:id="rId34">
        <w:r>
          <w:rPr>
            <w:rStyle w:val="Hyperlink"/>
            <w:rFonts w:ascii="Times New Roman" w:hAnsi="Times New Roman"/>
            <w:b w:val="false"/>
            <w:i w:val="false"/>
            <w:color w:val="000000"/>
            <w:sz w:val="22"/>
          </w:rPr>
          <w:t>124E.4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641—154.12</w:t>
      </w:r>
      <w:r>
        <w:rPr>
          <w:rFonts w:ascii="Times New Roman" w:hAnsi="Times New Roman"/>
          <w:b/>
          <w:i w:val="false"/>
          <w:color w:val="000000"/>
          <w:sz w:val="22"/>
        </w:rPr>
        <w:t xml:space="preserve">(124E) </w:t>
      </w:r>
      <w:r>
        <w:rPr>
          <w:rFonts w:ascii="Times New Roman" w:hAnsi="Times New Roman"/>
          <w:b/>
          <w:i w:val="false"/>
          <w:color w:val="000000"/>
          <w:sz w:val="22"/>
        </w:rPr>
        <w:t xml:space="preserve">Consumption of medical cannabidiol. </w:t>
      </w:r>
      <w:r>
        <w:rPr>
          <w:rFonts w:ascii="Times New Roman" w:hAnsi="Times New Roman"/>
          <w:b w:val="false"/>
          <w:i w:val="false"/>
          <w:color w:val="000000"/>
          <w:sz w:val="22"/>
        </w:rPr>
        <w:t xml:space="preserve">In accordance with Iowa Code section </w:t>
      </w:r>
      <w:hyperlink r:id="rId35">
        <w:r>
          <w:rPr>
            <w:rStyle w:val="Hyperlink"/>
            <w:rFonts w:ascii="Times New Roman" w:hAnsi="Times New Roman"/>
            <w:b w:val="false"/>
            <w:i w:val="false"/>
            <w:color w:val="000000"/>
            <w:sz w:val="22"/>
          </w:rPr>
          <w:t>124E.12</w:t>
        </w:r>
      </w:hyperlink>
      <w:r>
        <w:rPr>
          <w:rFonts w:ascii="Times New Roman" w:hAnsi="Times New Roman"/>
          <w:b w:val="false"/>
          <w:i w:val="false"/>
          <w:color w:val="000000"/>
          <w:sz w:val="22"/>
        </w:rPr>
        <w:t xml:space="preserve">, patients and caregivers are entitled to a complete and affirmative defense for unlawful possession of marijuana. Medical cannabidiol is intended to be consumed privately, and patients are subject to all applicable laws regarding public impairment and operating a vehicle, including but not limited to Iowa Code section </w:t>
      </w:r>
      <w:hyperlink r:id="rId36">
        <w:r>
          <w:rPr>
            <w:rStyle w:val="Hyperlink"/>
            <w:rFonts w:ascii="Times New Roman" w:hAnsi="Times New Roman"/>
            <w:b w:val="false"/>
            <w:i w:val="false"/>
            <w:color w:val="000000"/>
            <w:sz w:val="22"/>
          </w:rPr>
          <w:t>123.46</w:t>
        </w:r>
      </w:hyperlink>
      <w:r>
        <w:rPr>
          <w:rFonts w:ascii="Times New Roman" w:hAnsi="Times New Roman"/>
          <w:b w:val="false"/>
          <w:i w:val="false"/>
          <w:color w:val="000000"/>
          <w:sz w:val="22"/>
        </w:rPr>
        <w:t xml:space="preserve"> and chapter </w:t>
      </w:r>
      <w:hyperlink r:id="rId3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Medical cannabidiol products shall not be consumed in the following places: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In places open to the public, except for within a health care facility if pursuant to the standard operating procedures of the health care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On the property of a school, unless pursuant to the standard operating procedure of the school.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On the property of a medical cannabidiol dispensary or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641—154.13</w:t>
      </w:r>
      <w:r>
        <w:rPr>
          <w:rFonts w:ascii="Times New Roman" w:hAnsi="Times New Roman"/>
          <w:b/>
          <w:i w:val="false"/>
          <w:color w:val="000000"/>
          <w:sz w:val="22"/>
        </w:rPr>
        <w:t xml:space="preserve">(124E) </w:t>
      </w:r>
      <w:r>
        <w:rPr>
          <w:rFonts w:ascii="Times New Roman" w:hAnsi="Times New Roman"/>
          <w:b/>
          <w:i w:val="false"/>
          <w:color w:val="000000"/>
          <w:sz w:val="22"/>
        </w:rPr>
        <w:t xml:space="preserve">Allowable forms of medical cannabidiol. </w:t>
      </w:r>
    </w:p>
    <w:p>
      <w:pPr>
        <w:spacing w:before="0" w:after="0"/>
        <w:ind w:left="120"/>
        <w:jc w:val="both"/>
      </w:pPr>
      <w:r>
        <w:rPr>
          <w:rFonts w:ascii="Times New Roman" w:hAnsi="Times New Roman"/>
          <w:b/>
          <w:i w:val="false"/>
          <w:color w:val="000000"/>
          <w:sz w:val="22"/>
        </w:rPr>
        <w:t>154.13(1)</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allowable forms. </w:t>
      </w:r>
      <w:r>
        <w:rPr>
          <w:rFonts w:ascii="Times New Roman" w:hAnsi="Times New Roman"/>
          <w:b w:val="false"/>
          <w:i w:val="false"/>
          <w:color w:val="000000"/>
          <w:sz w:val="22"/>
        </w:rPr>
        <w:t>Allowable forms of medical cannabidiol may be modified by approval of a recommendation by the medical cannabidiol board, subsequent approval of the board of medicine, and adoption of the recommendations by the department.</w:t>
      </w:r>
    </w:p>
    <w:p>
      <w:pPr>
        <w:spacing w:before="0" w:after="0"/>
        <w:ind w:left="120"/>
        <w:jc w:val="both"/>
      </w:pPr>
      <w:r>
        <w:rPr>
          <w:rFonts w:ascii="Times New Roman" w:hAnsi="Times New Roman"/>
          <w:b/>
          <w:i w:val="false"/>
          <w:color w:val="000000"/>
          <w:sz w:val="22"/>
        </w:rPr>
        <w:t>154.13(2)</w:t>
      </w:r>
      <w:r>
        <w:rPr>
          <w:rFonts w:ascii="Times New Roman" w:hAnsi="Times New Roman"/>
          <w:b w:val="false"/>
          <w:i w:val="false"/>
          <w:color w:val="000000"/>
          <w:sz w:val="22"/>
        </w:rPr>
        <w:t> </w:t>
      </w:r>
      <w:r>
        <w:rPr>
          <w:rFonts w:ascii="Times New Roman" w:hAnsi="Times New Roman"/>
          <w:b w:val="false"/>
          <w:i/>
          <w:color w:val="000000"/>
          <w:sz w:val="22"/>
        </w:rPr>
        <w:t xml:space="preserve">Allowable forms.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may only manufacture medical cannabidiol in the following forms: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Oral forms, including but not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Tablet.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Capsule.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Liquid.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Tincture.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Sublingual.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Topical forms, including but not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Gel.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Ointment, cream or lotion.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Transdermal patch.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Inhaled forms,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Nebulizable.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Vaporizable.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Rectal/vaginal forms, including but not limited to suppository.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manufacturer shall not produce medical cannabidiol in any form that may be smoked.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manufacturer shall not produce edible medical cannabidiol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MANUFACTURER AND DISPENSARY LICENSING</w:t>
      </w:r>
    </w:p>
    <w:p>
      <w:pPr>
        <w:spacing w:before="0" w:after="0"/>
        <w:ind w:left="120"/>
        <w:jc w:val="both"/>
      </w:pPr>
      <w:r>
        <w:rPr>
          <w:rFonts w:ascii="Times New Roman" w:hAnsi="Times New Roman"/>
          <w:b/>
          <w:i w:val="false"/>
          <w:color w:val="000000"/>
          <w:sz w:val="22"/>
        </w:rPr>
        <w:t>641—154.14</w:t>
      </w:r>
      <w:r>
        <w:rPr>
          <w:rFonts w:ascii="Times New Roman" w:hAnsi="Times New Roman"/>
          <w:b/>
          <w:i w:val="false"/>
          <w:color w:val="000000"/>
          <w:sz w:val="22"/>
        </w:rPr>
        <w:t xml:space="preserve">(124E) </w:t>
      </w:r>
      <w:r>
        <w:rPr>
          <w:rFonts w:ascii="Times New Roman" w:hAnsi="Times New Roman"/>
          <w:b/>
          <w:i w:val="false"/>
          <w:color w:val="000000"/>
          <w:sz w:val="22"/>
        </w:rPr>
        <w:t xml:space="preserve">Notice to law enforcement. </w:t>
      </w:r>
      <w:r>
        <w:rPr>
          <w:rFonts w:ascii="Times New Roman" w:hAnsi="Times New Roman"/>
          <w:b w:val="false"/>
          <w:i w:val="false"/>
          <w:color w:val="000000"/>
          <w:sz w:val="22"/>
        </w:rPr>
        <w:t>The department shall notify local law enforcement agencies and the department of public safety of the locations of manufactures and dispensaries. If the department has sufficient cause to believe that there is a threat to public safety, the department shall notify local law enforcement agencies and the department of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641—154.15</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and dispensary licensure. </w:t>
      </w:r>
    </w:p>
    <w:p>
      <w:pPr>
        <w:spacing w:before="0" w:after="0"/>
        <w:ind w:left="120"/>
        <w:jc w:val="both"/>
      </w:pPr>
      <w:r>
        <w:rPr>
          <w:rFonts w:ascii="Times New Roman" w:hAnsi="Times New Roman"/>
          <w:b/>
          <w:i w:val="false"/>
          <w:color w:val="000000"/>
          <w:sz w:val="22"/>
        </w:rPr>
        <w:t>154.15(1)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licensure, an applicant manufacturer or dispensary shall complete a background investigation pursuant to Iowa Code section </w:t>
      </w:r>
      <w:hyperlink r:id="rId38">
        <w:r>
          <w:rPr>
            <w:rStyle w:val="Hyperlink"/>
            <w:rFonts w:ascii="Times New Roman" w:hAnsi="Times New Roman"/>
            <w:b w:val="false"/>
            <w:i w:val="false"/>
            <w:color w:val="000000"/>
            <w:sz w:val="22"/>
          </w:rPr>
          <w:t>124E.19</w:t>
        </w:r>
      </w:hyperlink>
      <w:r>
        <w:rPr>
          <w:rFonts w:ascii="Times New Roman" w:hAnsi="Times New Roman"/>
          <w:b w:val="false"/>
          <w:i w:val="false"/>
          <w:color w:val="000000"/>
          <w:sz w:val="22"/>
        </w:rPr>
        <w:t xml:space="preserve">. Applicants must provide information on forms and in a manner required by the department of public safety. </w:t>
      </w:r>
    </w:p>
    <w:p>
      <w:pPr>
        <w:spacing w:before="0" w:after="0"/>
        <w:ind w:left="120"/>
        <w:jc w:val="both"/>
      </w:pPr>
      <w:r>
        <w:rPr>
          <w:rFonts w:ascii="Times New Roman" w:hAnsi="Times New Roman"/>
          <w:b/>
          <w:i w:val="false"/>
          <w:color w:val="000000"/>
          <w:sz w:val="22"/>
        </w:rPr>
        <w:t>154.15(2)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be renewed annually unless a manufacturer or dispensary relinquishes the license, there is a change in state law prohibiting the department from renewing the license, or the license is revoked pursuant to Iowa Code chapter </w:t>
      </w:r>
      <w:hyperlink r:id="rId3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i w:val="false"/>
          <w:color w:val="000000"/>
          <w:sz w:val="22"/>
        </w:rPr>
        <w:t>154.15(3)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to manufacture or dispense medical cannabidiol issued by the department is not assignable or transferable unless for the purpose of intra-organization restructure, subject to review and approval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641—154.16</w:t>
      </w:r>
      <w:r>
        <w:rPr>
          <w:rFonts w:ascii="Times New Roman" w:hAnsi="Times New Roman"/>
          <w:b/>
          <w:i w:val="false"/>
          <w:color w:val="000000"/>
          <w:sz w:val="22"/>
        </w:rPr>
        <w:t xml:space="preserve">(124E) </w:t>
      </w:r>
      <w:r>
        <w:rPr>
          <w:rFonts w:ascii="Times New Roman" w:hAnsi="Times New Roman"/>
          <w:b/>
          <w:i w:val="false"/>
          <w:color w:val="000000"/>
          <w:sz w:val="22"/>
        </w:rPr>
        <w:t xml:space="preserve">Collection of fees in competitive licensing. </w:t>
      </w:r>
      <w:r>
        <w:rPr>
          <w:rFonts w:ascii="Times New Roman" w:hAnsi="Times New Roman"/>
          <w:b w:val="false"/>
          <w:i w:val="false"/>
          <w:color w:val="000000"/>
          <w:sz w:val="22"/>
        </w:rPr>
        <w:t xml:space="preserve">Except as provided in this rule, all fees are nonrefundable, shall be retained by the department, and shall be considered repayment receipts as defined in Iowa Code section </w:t>
      </w:r>
      <w:hyperlink r:id="rId40">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154.16(1)</w:t>
      </w:r>
      <w:r>
        <w:rPr>
          <w:rFonts w:ascii="Times New Roman" w:hAnsi="Times New Roman"/>
          <w:b w:val="false"/>
          <w:i w:val="false"/>
          <w:color w:val="000000"/>
          <w:sz w:val="22"/>
        </w:rPr>
        <w:t> </w:t>
      </w:r>
      <w:r>
        <w:rPr>
          <w:rFonts w:ascii="Times New Roman" w:hAnsi="Times New Roman"/>
          <w:b w:val="false"/>
          <w:i/>
          <w:color w:val="000000"/>
          <w:sz w:val="22"/>
        </w:rPr>
        <w:t xml:space="preserve">Fees to the department for manufacturers and dispensaries.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Fees for manufacturing applicants are established by Iowa Code section </w:t>
      </w:r>
      <w:hyperlink r:id="rId41">
        <w:r>
          <w:rPr>
            <w:rStyle w:val="Hyperlink"/>
            <w:rFonts w:ascii="Times New Roman" w:hAnsi="Times New Roman"/>
            <w:b w:val="false"/>
            <w:i w:val="false"/>
            <w:color w:val="000000"/>
            <w:sz w:val="22"/>
          </w:rPr>
          <w:t>124E.6(4)</w:t>
        </w:r>
      </w:hyperlink>
      <w:r>
        <w:rPr>
          <w:rFonts w:ascii="Times New Roman" w:hAnsi="Times New Roman"/>
          <w:b w:val="false"/>
          <w:i w:val="false"/>
          <w:color w:val="000000"/>
          <w:sz w:val="22"/>
        </w:rPr>
        <w:t xml:space="preserve">. Fees for dispensary applicants are established by Iowa Code section </w:t>
      </w:r>
      <w:hyperlink r:id="rId42">
        <w:r>
          <w:rPr>
            <w:rStyle w:val="Hyperlink"/>
            <w:rFonts w:ascii="Times New Roman" w:hAnsi="Times New Roman"/>
            <w:b w:val="false"/>
            <w:i w:val="false"/>
            <w:color w:val="000000"/>
            <w:sz w:val="22"/>
          </w:rPr>
          <w:t>124E.8(4)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Licensed manufacturers and dispensaries shall pay an annual fee to the department to cover costs associated with regulating and inspecting, and for other expenses necessary for the administration of the medical cannabidiol program. The department shall assess the fee with the notice of approval of license, payable to the department no later than December 1. Annual fees assessed by the department shall not exceed $100,000 for a manufacturing license and shall not exceed $50,000 for a dispensary license.</w:t>
      </w:r>
    </w:p>
    <w:p>
      <w:pPr>
        <w:spacing w:before="0" w:after="0"/>
        <w:ind w:left="120"/>
        <w:jc w:val="both"/>
      </w:pPr>
      <w:r>
        <w:rPr>
          <w:rFonts w:ascii="Times New Roman" w:hAnsi="Times New Roman"/>
          <w:b/>
          <w:i w:val="false"/>
          <w:color w:val="000000"/>
          <w:sz w:val="22"/>
        </w:rPr>
        <w:t>154.16(2)</w:t>
      </w:r>
      <w:r>
        <w:rPr>
          <w:rFonts w:ascii="Times New Roman" w:hAnsi="Times New Roman"/>
          <w:b w:val="false"/>
          <w:i w:val="false"/>
          <w:color w:val="000000"/>
          <w:sz w:val="22"/>
        </w:rPr>
        <w:t> </w:t>
      </w:r>
      <w:r>
        <w:rPr>
          <w:rFonts w:ascii="Times New Roman" w:hAnsi="Times New Roman"/>
          <w:b w:val="false"/>
          <w:i/>
          <w:color w:val="000000"/>
          <w:sz w:val="22"/>
        </w:rPr>
        <w:t xml:space="preserve">Fees to the department of public safety.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applicant manufacturer or dispensary shall reimburse the department of public safety the full cost of conducting background investigations related to an application for licensure. The department of public safety retains the right to bill a licensee for additional background investigations, as needed.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Each manufacturer or dispensary awarded a license shall, at the time of award to license, submit to the department of public safety a deposit of $10,000 for each business owner subject to a background investigation and a national criminal history background check. Background investigation costs shall be deducted from the funds deposited. If the background investigation fees exceed the funds deposited, the applicant shall submit additional funds as required by the department of public safety. If the background investigation fees are less than the funds deposited, the department of public safety may refund or retain the fees as mutually agreed with the manufacturer or dispensary.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licensed manufacturer or dispensary shall pay a deposit of $200 per employee to the department of public safety for a background investigation and a national criminal history background check on any person being considered for hire as an employee of the manufacturer or dispensary. Background investigation costs shall be deducted from the funds deposited. If the background investigation fees exceed the funds deposited, the manufacturer or dispensary shall submit additional funds as required by the department of public safety. If the background investigation fees are less than the funds deposited, the department of public safety may refund or retain the fees as mutually agreed with the manufacturer or dispensary. The department shall retain the right to preclude a potential employee from hire based upon the results of the background investigation and national criminal history background check.</w:t>
      </w:r>
    </w:p>
    <w:p>
      <w:pPr>
        <w:spacing w:before="0" w:after="0"/>
        <w:ind w:left="120"/>
        <w:jc w:val="both"/>
      </w:pPr>
      <w:r>
        <w:rPr>
          <w:rFonts w:ascii="Times New Roman" w:hAnsi="Times New Roman"/>
          <w:b/>
          <w:i w:val="false"/>
          <w:color w:val="000000"/>
          <w:sz w:val="22"/>
        </w:rPr>
        <w:t>154.16(3)</w:t>
      </w:r>
      <w:r>
        <w:rPr>
          <w:rFonts w:ascii="Times New Roman" w:hAnsi="Times New Roman"/>
          <w:b w:val="false"/>
          <w:i w:val="false"/>
          <w:color w:val="000000"/>
          <w:sz w:val="22"/>
        </w:rPr>
        <w:t> </w:t>
      </w:r>
      <w:r>
        <w:rPr>
          <w:rFonts w:ascii="Times New Roman" w:hAnsi="Times New Roman"/>
          <w:b w:val="false"/>
          <w:i/>
          <w:color w:val="000000"/>
          <w:sz w:val="22"/>
        </w:rPr>
        <w:t xml:space="preserve">Criminal background checks.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or the owner of a dispensary shall not have been convicted of a disqualifying felony offense and shall be subject to a background investigation conducted by the department of public safety, including but not limited to a national criminal history record check.</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 employee of a manufacturer or a dispensary shall not have been convicted of a disqualifying felony offense and shall be subject to a background investigation conducted by the department of public safety, including but not limited to a national criminal history background check.</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 applicant or licensed manufacturer or dispensary shall respond within 30 days to a request from the department or the department of public safety for more information to complete a background investigation and national criminal history background check on an owner, investor, or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641—154.17</w:t>
      </w:r>
      <w:r>
        <w:rPr>
          <w:rFonts w:ascii="Times New Roman" w:hAnsi="Times New Roman"/>
          <w:b/>
          <w:i w:val="false"/>
          <w:color w:val="000000"/>
          <w:sz w:val="22"/>
        </w:rPr>
        <w:t xml:space="preserve">(124E) </w:t>
      </w:r>
      <w:r>
        <w:rPr>
          <w:rFonts w:ascii="Times New Roman" w:hAnsi="Times New Roman"/>
          <w:b/>
          <w:i w:val="false"/>
          <w:color w:val="000000"/>
          <w:sz w:val="22"/>
        </w:rPr>
        <w:t xml:space="preserve">Licensure renewal. </w:t>
      </w:r>
    </w:p>
    <w:p>
      <w:pPr>
        <w:spacing w:before="0" w:after="0"/>
        <w:ind w:left="120"/>
        <w:jc w:val="both"/>
      </w:pPr>
      <w:r>
        <w:rPr>
          <w:rFonts w:ascii="Times New Roman" w:hAnsi="Times New Roman"/>
          <w:b/>
          <w:i w:val="false"/>
          <w:color w:val="000000"/>
          <w:sz w:val="22"/>
        </w:rPr>
        <w:t>154.17(1)</w:t>
      </w:r>
      <w:r>
        <w:rPr>
          <w:rFonts w:ascii="Times New Roman" w:hAnsi="Times New Roman"/>
          <w:b w:val="false"/>
          <w:i w:val="false"/>
          <w:color w:val="000000"/>
          <w:sz w:val="22"/>
        </w:rPr>
        <w:t> </w:t>
      </w:r>
      <w:r>
        <w:rPr>
          <w:rFonts w:ascii="Times New Roman" w:hAnsi="Times New Roman"/>
          <w:b w:val="false"/>
          <w:i w:val="false"/>
          <w:color w:val="000000"/>
          <w:sz w:val="22"/>
        </w:rPr>
        <w:t>A licensed manufacturer or dispensary shall apply to renew its license with the department at least six months before the license expires. The application shall be submitted on a form on the department’s website.</w:t>
      </w:r>
    </w:p>
    <w:p>
      <w:pPr>
        <w:spacing w:before="0" w:after="0"/>
        <w:ind w:left="120"/>
        <w:jc w:val="both"/>
      </w:pPr>
      <w:r>
        <w:rPr>
          <w:rFonts w:ascii="Times New Roman" w:hAnsi="Times New Roman"/>
          <w:b/>
          <w:i w:val="false"/>
          <w:color w:val="000000"/>
          <w:sz w:val="22"/>
        </w:rPr>
        <w:t>154.17(2)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 manufacturer or dispensary of the decision to approve or deny the manufacturer or dispensary’s license by August 1 of the year in which the renewal application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641—154.18</w:t>
      </w:r>
      <w:r>
        <w:rPr>
          <w:rFonts w:ascii="Times New Roman" w:hAnsi="Times New Roman"/>
          <w:b/>
          <w:i w:val="false"/>
          <w:color w:val="000000"/>
          <w:sz w:val="22"/>
        </w:rPr>
        <w:t xml:space="preserve">(124E) </w:t>
      </w:r>
      <w:r>
        <w:rPr>
          <w:rFonts w:ascii="Times New Roman" w:hAnsi="Times New Roman"/>
          <w:b/>
          <w:i w:val="false"/>
          <w:color w:val="000000"/>
          <w:sz w:val="22"/>
        </w:rPr>
        <w:t xml:space="preserve">Suspension or revocation of a manufacturing or dispensary license. </w:t>
      </w:r>
    </w:p>
    <w:p>
      <w:pPr>
        <w:spacing w:before="0" w:after="0"/>
        <w:ind w:left="120"/>
        <w:jc w:val="both"/>
      </w:pPr>
      <w:r>
        <w:rPr>
          <w:rFonts w:ascii="Times New Roman" w:hAnsi="Times New Roman"/>
          <w:b/>
          <w:i w:val="false"/>
          <w:color w:val="000000"/>
          <w:sz w:val="22"/>
        </w:rPr>
        <w:t>154.18(1)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or revoke a manufacturer or dispensary license upon any of the following grounds: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Submission of false, inaccurate, misleading, or fraudulent information to the department in the application or inspection processes.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Failure to submit required reports and documents.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Violation of Iowa Code chapter </w:t>
      </w:r>
      <w:hyperlink r:id="rId43">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 or violation of state or local law related to operation of the licensee.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Conduct or practices detrimental to the safety, health, or welfare of a patient, primary caregiver, or the public.</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Criminal, civil, or administration action taken against a license or registration in this or another state or country related to manufacturing or dispensing medical cannabidiol.</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False, misleading, or deceptive representations to the department, another state or federal agency, or a law enforcement agency.</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Discontinuance of operation for more than 30 days, unless the department approves an extension of such period for good cause shown.</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Failure to maintain effective controls against diversion, theft, or loss of medical cannabidiol.</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Failure to correct a deficiency within the time frame required by the department.</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Failure of a manufacturer or dispensary’s business owner or investors to have a satisfactory result in a background investigation or national criminal history background check as determined by the department.</w:t>
      </w:r>
    </w:p>
    <w:p>
      <w:pPr>
        <w:spacing w:before="0" w:after="0"/>
        <w:ind w:left="120"/>
        <w:jc w:val="both"/>
      </w:pPr>
      <w:r>
        <w:rPr>
          <w:rFonts w:ascii="Times New Roman" w:hAnsi="Times New Roman"/>
          <w:b/>
          <w:i w:val="false"/>
          <w:color w:val="000000"/>
          <w:sz w:val="22"/>
        </w:rPr>
        <w:t>154.18(2)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manufacturer or dispensary of the proposed action pursuant to Iowa Code sections </w:t>
      </w:r>
      <w:hyperlink r:id="rId44">
        <w:r>
          <w:rPr>
            <w:rStyle w:val="Hyperlink"/>
            <w:rFonts w:ascii="Times New Roman" w:hAnsi="Times New Roman"/>
            <w:b w:val="false"/>
            <w:i w:val="false"/>
            <w:color w:val="000000"/>
            <w:sz w:val="22"/>
          </w:rPr>
          <w:t>17A.12 </w:t>
        </w:r>
      </w:hyperlink>
      <w:r>
        <w:rPr>
          <w:rFonts w:ascii="Times New Roman" w:hAnsi="Times New Roman"/>
          <w:b w:val="false"/>
          <w:i w:val="false"/>
          <w:color w:val="000000"/>
          <w:sz w:val="22"/>
        </w:rPr>
        <w:t xml:space="preserve">and </w:t>
      </w:r>
      <w:hyperlink r:id="rId45">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Notice of issuance of a suspension or revocation shall be served by restricted certified mail, return receipt requested, or by personal service.</w:t>
      </w:r>
    </w:p>
    <w:p>
      <w:pPr>
        <w:spacing w:before="0" w:after="0"/>
        <w:ind w:left="120"/>
        <w:jc w:val="both"/>
      </w:pPr>
      <w:r>
        <w:rPr>
          <w:rFonts w:ascii="Times New Roman" w:hAnsi="Times New Roman"/>
          <w:b/>
          <w:i w:val="false"/>
          <w:color w:val="000000"/>
          <w:sz w:val="22"/>
        </w:rPr>
        <w:t>154.18(3)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appeal concerning the suspension or revocation of a license shall be submitted pursuant to the provisions of </w:t>
      </w:r>
      <w:hyperlink r:id="rId4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641—154.19</w:t>
      </w:r>
      <w:r>
        <w:rPr>
          <w:rFonts w:ascii="Times New Roman" w:hAnsi="Times New Roman"/>
          <w:b/>
          <w:i w:val="false"/>
          <w:color w:val="000000"/>
          <w:sz w:val="22"/>
        </w:rPr>
        <w:t xml:space="preserve">(124E) </w:t>
      </w:r>
      <w:r>
        <w:rPr>
          <w:rFonts w:ascii="Times New Roman" w:hAnsi="Times New Roman"/>
          <w:b/>
          <w:i w:val="false"/>
          <w:color w:val="000000"/>
          <w:sz w:val="22"/>
        </w:rPr>
        <w:t xml:space="preserve">Assessment of penalties. </w:t>
      </w:r>
      <w:r>
        <w:rPr>
          <w:rFonts w:ascii="Times New Roman" w:hAnsi="Times New Roman"/>
          <w:b w:val="false"/>
          <w:i w:val="false"/>
          <w:color w:val="000000"/>
          <w:sz w:val="22"/>
        </w:rPr>
        <w:t xml:space="preserve">The department shall assess to a manufacturer a civil penalty of up to $1,000 per violation of Iowa Code chapter </w:t>
      </w:r>
      <w:hyperlink r:id="rId47">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or these rules in addition to other applicable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641—154.20</w:t>
      </w:r>
      <w:r>
        <w:rPr>
          <w:rFonts w:ascii="Times New Roman" w:hAnsi="Times New Roman"/>
          <w:b/>
          <w:i w:val="false"/>
          <w:color w:val="000000"/>
          <w:sz w:val="22"/>
        </w:rPr>
        <w:t xml:space="preserve">(124E) </w:t>
      </w:r>
      <w:r>
        <w:rPr>
          <w:rFonts w:ascii="Times New Roman" w:hAnsi="Times New Roman"/>
          <w:b/>
          <w:i w:val="false"/>
          <w:color w:val="000000"/>
          <w:sz w:val="22"/>
        </w:rPr>
        <w:t xml:space="preserve">Closure of operations. </w:t>
      </w:r>
    </w:p>
    <w:p>
      <w:pPr>
        <w:spacing w:before="0" w:after="0"/>
        <w:ind w:left="120"/>
        <w:jc w:val="both"/>
      </w:pPr>
      <w:r>
        <w:rPr>
          <w:rFonts w:ascii="Times New Roman" w:hAnsi="Times New Roman"/>
          <w:b/>
          <w:i w:val="false"/>
          <w:color w:val="000000"/>
          <w:sz w:val="22"/>
        </w:rPr>
        <w:t>154.20(1)</w:t>
      </w:r>
      <w:r>
        <w:rPr>
          <w:rFonts w:ascii="Times New Roman" w:hAnsi="Times New Roman"/>
          <w:b w:val="false"/>
          <w:i w:val="false"/>
          <w:color w:val="000000"/>
          <w:sz w:val="22"/>
        </w:rPr>
        <w:t> </w:t>
      </w:r>
      <w:r>
        <w:rPr>
          <w:rFonts w:ascii="Times New Roman" w:hAnsi="Times New Roman"/>
          <w:b w:val="false"/>
          <w:i w:val="false"/>
          <w:color w:val="000000"/>
          <w:sz w:val="22"/>
        </w:rPr>
        <w:t>A manufacturer or dispensary shall notify the department at least six months before the closure of the manufacturing facility.</w:t>
      </w:r>
    </w:p>
    <w:p>
      <w:pPr>
        <w:spacing w:before="0" w:after="0"/>
        <w:ind w:left="120"/>
        <w:jc w:val="both"/>
      </w:pPr>
      <w:r>
        <w:rPr>
          <w:rFonts w:ascii="Times New Roman" w:hAnsi="Times New Roman"/>
          <w:b/>
          <w:i w:val="false"/>
          <w:color w:val="000000"/>
          <w:sz w:val="22"/>
        </w:rPr>
        <w:t>154.20(2)</w:t>
      </w:r>
      <w:r>
        <w:rPr>
          <w:rFonts w:ascii="Times New Roman" w:hAnsi="Times New Roman"/>
          <w:b w:val="false"/>
          <w:i w:val="false"/>
          <w:color w:val="000000"/>
          <w:sz w:val="22"/>
        </w:rPr>
        <w:t> </w:t>
      </w:r>
      <w:r>
        <w:rPr>
          <w:rFonts w:ascii="Times New Roman" w:hAnsi="Times New Roman"/>
          <w:b w:val="false"/>
          <w:i w:val="false"/>
          <w:color w:val="000000"/>
          <w:sz w:val="22"/>
        </w:rPr>
        <w:t>If a manufacturer or dispensary ceases operation, the manufacturer or dispensary shall work with the department to verify the remaining inventory of the manufacturer or dispensary and ensure that any plant material, plant material waste,  medical cannabidiol products, or combination thereof are destroyed at a waste facility or returned to a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641—154.21</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and dispensary security requirements. </w:t>
      </w:r>
    </w:p>
    <w:p>
      <w:pPr>
        <w:spacing w:before="0" w:after="0"/>
        <w:ind w:left="120"/>
        <w:jc w:val="both"/>
      </w:pPr>
      <w:r>
        <w:rPr>
          <w:rFonts w:ascii="Times New Roman" w:hAnsi="Times New Roman"/>
          <w:b/>
          <w:i w:val="false"/>
          <w:color w:val="000000"/>
          <w:sz w:val="22"/>
        </w:rPr>
        <w:t>154.21(1)</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w:t>
      </w:r>
      <w:r>
        <w:rPr>
          <w:rFonts w:ascii="Times New Roman" w:hAnsi="Times New Roman"/>
          <w:b w:val="false"/>
          <w:i w:val="false"/>
          <w:color w:val="000000"/>
          <w:sz w:val="22"/>
        </w:rPr>
        <w:t xml:space="preserve">A manufacturer or dispensary shall limit entrance to all restricted areas by completing all of the following: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Mark restricted access areas with signs that state: “Do Not Enter—Restricted Access Areas Access Limited to Authorized Personnel Only”.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Use a controlled access system that: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Limits access to authorized individuals;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Maintains a log of individuals with approved access, including dates of approvals and revocations;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Tracks times of personnel entry to and exit from the facility;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Stores data for retrieval for a minimum of one year;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Limits access to authorized individuals in the event of a power failure.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If the controlled access system cannot electronically record visitors, visitors to restricted access areas sign manifests with name, date, and times of entry and exit. These manifests shall be kept and stored for a minimum of one year.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Visitors wear badges that are visible at all times and identify them as visitors.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If requested by the department, submit stored controlled access system data to the department within five business days. </w:t>
      </w:r>
    </w:p>
    <w:p>
      <w:pPr>
        <w:spacing w:before="0" w:after="0"/>
        <w:ind w:left="120"/>
        <w:jc w:val="both"/>
      </w:pPr>
      <w:r>
        <w:rPr>
          <w:rFonts w:ascii="Times New Roman" w:hAnsi="Times New Roman"/>
          <w:b/>
          <w:i w:val="false"/>
          <w:color w:val="000000"/>
          <w:sz w:val="22"/>
        </w:rPr>
        <w:t>154.21(2)</w:t>
      </w:r>
      <w:r>
        <w:rPr>
          <w:rFonts w:ascii="Times New Roman" w:hAnsi="Times New Roman"/>
          <w:b w:val="false"/>
          <w:i w:val="false"/>
          <w:color w:val="000000"/>
          <w:sz w:val="22"/>
        </w:rPr>
        <w:t> </w:t>
      </w:r>
      <w:r>
        <w:rPr>
          <w:rFonts w:ascii="Times New Roman" w:hAnsi="Times New Roman"/>
          <w:b w:val="false"/>
          <w:i/>
          <w:color w:val="000000"/>
          <w:sz w:val="22"/>
        </w:rPr>
        <w:t xml:space="preserve">Perimeter intrusion detection system.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Computer-controlled video surveillance system. </w:t>
      </w:r>
      <w:r>
        <w:rPr>
          <w:rFonts w:ascii="Times New Roman" w:hAnsi="Times New Roman"/>
          <w:b w:val="false"/>
          <w:i w:val="false"/>
          <w:color w:val="000000"/>
          <w:sz w:val="22"/>
        </w:rPr>
        <w:t>A manufacturer or dispensary shall operate and maintain a computer-controlled, closed-circuit television surveillance system on its premises that operates 24 hours per day, seven days per week, and visually records: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All phases of medical cannabidiol production, if applicable;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All areas that might contain plant material, medical cannabidiol, or both;</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All points of entry and exit;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entrance to the video surveillance control room;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Parking areas, which shall have appropriate lighting for the normal conditions of the area under surveillance.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Camera specifications. </w:t>
      </w:r>
      <w:r>
        <w:rPr>
          <w:rFonts w:ascii="Times New Roman" w:hAnsi="Times New Roman"/>
          <w:b w:val="false"/>
          <w:i w:val="false"/>
          <w:color w:val="000000"/>
          <w:sz w:val="22"/>
        </w:rPr>
        <w:t>Cameras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Capture clear and certain identification of any person entering or exiting a manufacturer or dispensary or its parking areas;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Produce a clear, color still photograph live or from a recording;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Have an embedded date-and-time stamp that is synchronized to the recording and does not obscure the picture;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Continue to operate during a power outage.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Video recording specifications. </w:t>
      </w:r>
      <w:r>
        <w:rPr>
          <w:rFonts w:ascii="Times New Roman" w:hAnsi="Times New Roman"/>
          <w:b w:val="false"/>
          <w:i w:val="false"/>
          <w:color w:val="000000"/>
          <w:sz w:val="22"/>
        </w:rPr>
        <w:t>Video recording equipment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Export still images in an industry standard image format, such as .jpg, .bmp, or .gif;</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Archive exported video in a format that ensures authentication and guarantees that the recorded image has not been altered;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Save exported video in an industry standard file format that can be played on a standard computer operating system.</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Location. </w:t>
      </w:r>
      <w:r>
        <w:rPr>
          <w:rFonts w:ascii="Times New Roman" w:hAnsi="Times New Roman"/>
          <w:b w:val="false"/>
          <w:i w:val="false"/>
          <w:color w:val="000000"/>
          <w:sz w:val="22"/>
        </w:rPr>
        <w:t>A dispensary shall maintain all security system equipment and recordings in a secure location to prevent theft, loss, destruction, corruption, and alterations.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Retention. </w:t>
      </w:r>
      <w:r>
        <w:rPr>
          <w:rFonts w:ascii="Times New Roman" w:hAnsi="Times New Roman"/>
          <w:b w:val="false"/>
          <w:i w:val="false"/>
          <w:color w:val="000000"/>
          <w:sz w:val="22"/>
        </w:rPr>
        <w:t>A manufacturer or dispensary shall ensure that recordings from all video cameras are: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Available for viewing by the department upon request;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Retained for at least 60 days;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Maintained free of alteration or corruption.</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color w:val="000000"/>
          <w:sz w:val="22"/>
        </w:rPr>
        <w:t xml:space="preserve">Required signage. </w:t>
      </w:r>
      <w:r>
        <w:rPr>
          <w:rFonts w:ascii="Times New Roman" w:hAnsi="Times New Roman"/>
          <w:b w:val="false"/>
          <w:i w:val="false"/>
          <w:color w:val="000000"/>
          <w:sz w:val="22"/>
        </w:rPr>
        <w:t>A manufacturer or dispensary shall post a sign in capital letters in a conspicuous location at every entrance to the manufacturing facility or dispensary that reads, “THESE PREMISES ARE UNDER CONSTANT VIDEO SURVEILLANCE.”</w:t>
      </w:r>
    </w:p>
    <w:p>
      <w:pPr>
        <w:spacing w:before="0" w:after="0"/>
        <w:ind w:left="120"/>
        <w:jc w:val="both"/>
      </w:pPr>
      <w:r>
        <w:rPr>
          <w:rFonts w:ascii="Times New Roman" w:hAnsi="Times New Roman"/>
          <w:b/>
          <w:i w:val="false"/>
          <w:color w:val="000000"/>
          <w:sz w:val="22"/>
        </w:rPr>
        <w:t>154.21(3)</w:t>
      </w:r>
      <w:r>
        <w:rPr>
          <w:rFonts w:ascii="Times New Roman" w:hAnsi="Times New Roman"/>
          <w:b w:val="false"/>
          <w:i w:val="false"/>
          <w:color w:val="000000"/>
          <w:sz w:val="22"/>
        </w:rPr>
        <w:t> </w:t>
      </w:r>
      <w:r>
        <w:rPr>
          <w:rFonts w:ascii="Times New Roman" w:hAnsi="Times New Roman"/>
          <w:b w:val="false"/>
          <w:i/>
          <w:color w:val="000000"/>
          <w:sz w:val="22"/>
        </w:rPr>
        <w:t xml:space="preserve">Security alarm system requirements.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or dispensary shall use a professionally monitored security alarm system that provides intrusion and fire detection of all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Dispensary entrances and exits;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Facility entrances and exits;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Rooms with exterior windows;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Rooms with exterior walls;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Roof hatches;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Skylights; and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Storage rooms.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manufacturer or dispensary’s security alarm system and all devices shall continue to operate during a power outage.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manufacturer or dispensary shall provide documentation of the annual inspection and device testing, by a qualified alarm vendor, to the department upon request.</w:t>
      </w:r>
    </w:p>
    <w:p>
      <w:pPr>
        <w:spacing w:before="0" w:after="0"/>
        <w:ind w:left="120"/>
        <w:jc w:val="both"/>
      </w:pPr>
      <w:r>
        <w:rPr>
          <w:rFonts w:ascii="Times New Roman" w:hAnsi="Times New Roman"/>
          <w:b/>
          <w:i w:val="false"/>
          <w:color w:val="000000"/>
          <w:sz w:val="22"/>
        </w:rPr>
        <w:t>154.21(4)</w:t>
      </w:r>
      <w:r>
        <w:rPr>
          <w:rFonts w:ascii="Times New Roman" w:hAnsi="Times New Roman"/>
          <w:b w:val="false"/>
          <w:i w:val="false"/>
          <w:color w:val="000000"/>
          <w:sz w:val="22"/>
        </w:rPr>
        <w:t> </w:t>
      </w:r>
      <w:r>
        <w:rPr>
          <w:rFonts w:ascii="Times New Roman" w:hAnsi="Times New Roman"/>
          <w:b w:val="false"/>
          <w:i/>
          <w:color w:val="000000"/>
          <w:sz w:val="22"/>
        </w:rPr>
        <w:t xml:space="preserve">Personnel identification system. </w:t>
      </w:r>
      <w:r>
        <w:rPr>
          <w:rFonts w:ascii="Times New Roman" w:hAnsi="Times New Roman"/>
          <w:b w:val="false"/>
          <w:i w:val="false"/>
          <w:color w:val="000000"/>
          <w:sz w:val="22"/>
        </w:rPr>
        <w:t>A manufacturer or dispensary shall use a personnel identification system that controls and monitors individual employee access to restricted access areas.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employee identification card shall contain: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name of the employee;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date of issuance and expiration;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An alphanumeric identification number that is unique to the employee;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photographic image of the employee.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manufacturer or dispensary’s employee shall keep the identification card visible at all times when the employee is in a manufacturing facility, a dispensary, or a vehicle transporting medical cannabidiol.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Upon termination or resignation of an employee, a manufacturer or dispensary shall immediately: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Revoke the employee’s access to the manufacturing facility or dispensary;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Destroy the employee’s identification card, if possible.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641—154.22</w:t>
      </w:r>
      <w:r>
        <w:rPr>
          <w:rFonts w:ascii="Times New Roman" w:hAnsi="Times New Roman"/>
          <w:b/>
          <w:i w:val="false"/>
          <w:color w:val="000000"/>
          <w:sz w:val="22"/>
        </w:rPr>
        <w:t xml:space="preserve">(124E) </w:t>
      </w:r>
      <w:r>
        <w:rPr>
          <w:rFonts w:ascii="Times New Roman" w:hAnsi="Times New Roman"/>
          <w:b/>
          <w:i w:val="false"/>
          <w:color w:val="000000"/>
          <w:sz w:val="22"/>
        </w:rPr>
        <w:t xml:space="preserve">Advertising and marketing. </w:t>
      </w:r>
    </w:p>
    <w:p>
      <w:pPr>
        <w:spacing w:before="0" w:after="0"/>
        <w:ind w:left="120"/>
        <w:jc w:val="both"/>
      </w:pPr>
      <w:r>
        <w:rPr>
          <w:rFonts w:ascii="Times New Roman" w:hAnsi="Times New Roman"/>
          <w:b/>
          <w:i w:val="false"/>
          <w:color w:val="000000"/>
          <w:sz w:val="22"/>
        </w:rPr>
        <w:t>154.22(1)</w:t>
      </w:r>
      <w:r>
        <w:rPr>
          <w:rFonts w:ascii="Times New Roman" w:hAnsi="Times New Roman"/>
          <w:b w:val="false"/>
          <w:i w:val="false"/>
          <w:color w:val="000000"/>
          <w:sz w:val="22"/>
        </w:rPr>
        <w:t> </w:t>
      </w:r>
      <w:r>
        <w:rPr>
          <w:rFonts w:ascii="Times New Roman" w:hAnsi="Times New Roman"/>
          <w:b w:val="false"/>
          <w:i/>
          <w:color w:val="000000"/>
          <w:sz w:val="22"/>
        </w:rPr>
        <w:t xml:space="preserve">Permitted marketing and advertising activities. </w:t>
      </w:r>
      <w:r>
        <w:rPr>
          <w:rFonts w:ascii="Times New Roman" w:hAnsi="Times New Roman"/>
          <w:b w:val="false"/>
          <w:i w:val="false"/>
          <w:color w:val="000000"/>
          <w:sz w:val="22"/>
        </w:rPr>
        <w:t>A manufacturer or dispensary must include medical cannabidiol pricing and hours of operation on its website and may do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Display the manufacturer or dispensary’s business name and logo on medical cannabidiol labels, signs, website, and informational material provided to patients. The name or logo shall not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Images of cannabis or cannabis-use paraphernalia;</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Colloquial references to cannabis;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Names of cannabis plant strains or varieties;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Unsubstantiated medical claims; 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Medical symbols that bear a reasonable resemblance to established medical associations.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Display signs on the manufacturing facility or dispensary;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Maintain a business website that contains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manufacturer or dispensary’s name and contact information;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medical cannabidiol forms and quantities manufactured or available in Iowa;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Other information as approved by the department.</w:t>
      </w:r>
    </w:p>
    <w:p>
      <w:pPr>
        <w:spacing w:before="0" w:after="0"/>
        <w:ind w:left="120"/>
        <w:jc w:val="both"/>
      </w:pPr>
      <w:r>
        <w:rPr>
          <w:rFonts w:ascii="Times New Roman" w:hAnsi="Times New Roman"/>
          <w:b/>
          <w:i w:val="false"/>
          <w:color w:val="000000"/>
          <w:sz w:val="22"/>
        </w:rPr>
        <w:t>154.22(2)</w:t>
      </w:r>
      <w:r>
        <w:rPr>
          <w:rFonts w:ascii="Times New Roman" w:hAnsi="Times New Roman"/>
          <w:b w:val="false"/>
          <w:i w:val="false"/>
          <w:color w:val="000000"/>
          <w:sz w:val="22"/>
        </w:rPr>
        <w:t> </w:t>
      </w:r>
      <w:r>
        <w:rPr>
          <w:rFonts w:ascii="Times New Roman" w:hAnsi="Times New Roman"/>
          <w:b w:val="false"/>
          <w:i/>
          <w:color w:val="000000"/>
          <w:sz w:val="22"/>
        </w:rPr>
        <w:t xml:space="preserve">Prohibited conduct, statements and illustration.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An advertisement for medical cannabidiol shall not contain: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Colloquial references to cannabis;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Names of cannabis plant strains or varieties;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Any statement that is false or misleading;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Any statement that disparages a competitor’s products;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Any statement, design, or representation, picture or illustration that is obscene or indecent;</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Any statement, design, representation, picture or illustration that reasonably appeals to or targets children. Appealing to children means: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When taken literally or as a plan language reading, there is a resemblance to food or product used by children;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Contains child-appealing visuals/graphics, such as intense colors, bubble letters, or other interesting fonts or lettering;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Unconventional or interesting product names;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Unconventional or unexpected flavor, color, or shape of the product;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Games or activities present on the package; or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Presence of branded characters, spokespersons, licensed characters, cartoons, or celebrities;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Any statement, design, representation, picture or illustration that encourages or represents the use of medical cannabidiol for a condition other than a qualifying debilitating medical condition;</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Any statement, design, representation, picture or illustration that encourages or represents the recreational use of medical cannabidiol or marijuana, tobacco or nicotine products, or alcohol; </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Any statement, design, representation, picture or illustration related to the safety or efficacy of medical cannabidiol, unless supported by substantial evidence, substantial clinical data, direct patient testimonials, or combination thereof;</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 xml:space="preserve"> Any statement, design, representation, picture or illustration portraying anyone reasonably appearing to be under the age of 18, objects suggestive of the presence of anyone under the age of 18, or containing the use of a figure, symbol or language that is customarily associated with anyone under the age of 18, except that an advertisement may address medical cannabidiol products as they relate to minor patients; </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Any offer of a prize, award or inducement to a qualifying patient, primary caregiver, or health care practitioner related to the purchase of medical cannabidiol or a certification for the use of medical cannabidiol, except that non-product-specific price discounts are allowed;</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Any statement or assertion that medical cannabidiol products are safe because they are regulated under this chapter or have been tested by an approved laboratory; </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 xml:space="preserve">Any reference to a prohibited form of medical cannabidiol; </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 xml:space="preserve">Any statement that claims that medical cannabidiol products are endorsed or supported by any government agency; or </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 xml:space="preserve">Any statement that indicates or implies that the product or entity in the advertisement has been approved or endorsed by the department, the state of Iowa or any person or entity associated with the state of Iowa.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manufacturer or dispensary shall not engage in any of the following activities: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Host, promote, refer, or otherwise advertise a third-party patient certification service;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Engage in any advertising, marketing, or branded educational activities within 1,000 feet of a school;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Host, promote, sponsor, or otherwise participate in a cannabis consumption lounge or other such encouragement of public consumption of cannabis or medical cannabidiol; or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Advertise, or make reference to, non-approved forms of medical cannabidiol in any of its advertisements, including but not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Referring to an approved form of medical cannabidiol as a prohibited form of medical cannabidiol.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Advertising non-approved forms of medical cannabidiol. Consumable hemp products regulated under Iowa Code chapter </w:t>
      </w:r>
      <w:hyperlink r:id="rId48">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641—Chapter 156</w:t>
        </w:r>
      </w:hyperlink>
      <w:r>
        <w:rPr>
          <w:rFonts w:ascii="Times New Roman" w:hAnsi="Times New Roman"/>
          <w:b w:val="false"/>
          <w:i w:val="false"/>
          <w:color w:val="000000"/>
          <w:sz w:val="22"/>
        </w:rPr>
        <w:t xml:space="preserve"> are exempt from this provision. </w:t>
      </w:r>
    </w:p>
    <w:p>
      <w:pPr>
        <w:spacing w:before="0" w:after="0"/>
        <w:ind w:left="120"/>
        <w:jc w:val="both"/>
      </w:pPr>
      <w:r>
        <w:rPr>
          <w:rFonts w:ascii="Times New Roman" w:hAnsi="Times New Roman"/>
          <w:b/>
          <w:i w:val="false"/>
          <w:color w:val="000000"/>
          <w:sz w:val="22"/>
        </w:rPr>
        <w:t>154.22(3)</w:t>
      </w:r>
      <w:r>
        <w:rPr>
          <w:rFonts w:ascii="Times New Roman" w:hAnsi="Times New Roman"/>
          <w:b w:val="false"/>
          <w:i w:val="false"/>
          <w:color w:val="000000"/>
          <w:sz w:val="22"/>
        </w:rPr>
        <w:t> </w:t>
      </w:r>
      <w:r>
        <w:rPr>
          <w:rFonts w:ascii="Times New Roman" w:hAnsi="Times New Roman"/>
          <w:b w:val="false"/>
          <w:i/>
          <w:color w:val="000000"/>
          <w:sz w:val="22"/>
        </w:rPr>
        <w:t xml:space="preserve">Review of advertisements by the department. </w:t>
      </w:r>
      <w:r>
        <w:rPr>
          <w:rFonts w:ascii="Times New Roman" w:hAnsi="Times New Roman"/>
          <w:b w:val="false"/>
          <w:i w:val="false"/>
          <w:color w:val="000000"/>
          <w:sz w:val="22"/>
        </w:rPr>
        <w:t xml:space="preserve">Any advertisement for medical cannabidiol shall be submitted to the department, on a form or in a format prescribed by the department, at the same time as, or prior to, the dissemination of the advertisement.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department may: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Require a specific disclosure be made in the advertisement in a clear and conspicuous manner if the department determines that the advertisement would be false or misleading without such a disclosure; or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Require changes that are necessary to protect the public health, safety and welfare;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Require statements for inclusion in the advertisement to address the specific efficacy of medical cannabidiol as it relates to specific disease states or approved debilitating medical conditions, disease symptoms, and population groups.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department reserves the right to require that a licensee amend or remove a public advertisement.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641—154.23</w:t>
      </w:r>
      <w:r>
        <w:rPr>
          <w:rFonts w:ascii="Times New Roman" w:hAnsi="Times New Roman"/>
          <w:b/>
          <w:i w:val="false"/>
          <w:color w:val="000000"/>
          <w:sz w:val="22"/>
        </w:rPr>
        <w:t xml:space="preserve">(124E) </w:t>
      </w:r>
      <w:r>
        <w:rPr>
          <w:rFonts w:ascii="Times New Roman" w:hAnsi="Times New Roman"/>
          <w:b/>
          <w:i w:val="false"/>
          <w:color w:val="000000"/>
          <w:sz w:val="22"/>
        </w:rPr>
        <w:t xml:space="preserve">Sales and inventory tracking system. </w:t>
      </w:r>
      <w:r>
        <w:rPr>
          <w:rFonts w:ascii="Times New Roman" w:hAnsi="Times New Roman"/>
          <w:b w:val="false"/>
          <w:i w:val="false"/>
          <w:color w:val="000000"/>
          <w:sz w:val="22"/>
        </w:rPr>
        <w:t>The department shall establish and maintain a secure, electronic system that is available 24 hours per day, seven days per week to track:</w:t>
      </w:r>
    </w:p>
    <w:p>
      <w:pPr>
        <w:numPr>
          <w:ilvl w:val="0"/>
          <w:numId w:val="10"/>
        </w:numPr>
        <w:spacing w:before="0" w:after="0"/>
        <w:jc w:val="both"/>
      </w:pPr>
      <w:r>
        <w:rPr>
          <w:rFonts w:ascii="Times New Roman" w:hAnsi="Times New Roman"/>
          <w:b w:val="false"/>
          <w:i w:val="false"/>
          <w:color w:val="000000"/>
          <w:sz w:val="22"/>
        </w:rPr>
        <w:t>Inventory of plant material and medical cannabidiol;</w:t>
      </w:r>
    </w:p>
    <w:p>
      <w:pPr>
        <w:numPr>
          <w:ilvl w:val="0"/>
          <w:numId w:val="10"/>
        </w:numPr>
        <w:spacing w:before="0" w:after="0"/>
        <w:jc w:val="both"/>
      </w:pPr>
      <w:r>
        <w:rPr>
          <w:rFonts w:ascii="Times New Roman" w:hAnsi="Times New Roman"/>
          <w:b w:val="false"/>
          <w:i w:val="false"/>
          <w:color w:val="000000"/>
          <w:sz w:val="22"/>
        </w:rPr>
        <w:t>Transport of plant material and laboratory samples;</w:t>
      </w:r>
    </w:p>
    <w:p>
      <w:pPr>
        <w:numPr>
          <w:ilvl w:val="0"/>
          <w:numId w:val="10"/>
        </w:numPr>
        <w:spacing w:before="0" w:after="0"/>
        <w:jc w:val="both"/>
      </w:pPr>
      <w:r>
        <w:rPr>
          <w:rFonts w:ascii="Times New Roman" w:hAnsi="Times New Roman"/>
          <w:b w:val="false"/>
          <w:i w:val="false"/>
          <w:color w:val="000000"/>
          <w:sz w:val="22"/>
        </w:rPr>
        <w:t>Application and use of crop inputs and other solvents and chemicals;</w:t>
      </w:r>
    </w:p>
    <w:p>
      <w:pPr>
        <w:numPr>
          <w:ilvl w:val="0"/>
          <w:numId w:val="10"/>
        </w:numPr>
        <w:spacing w:before="0" w:after="0"/>
        <w:jc w:val="both"/>
      </w:pPr>
      <w:r>
        <w:rPr>
          <w:rFonts w:ascii="Times New Roman" w:hAnsi="Times New Roman"/>
          <w:b w:val="false"/>
          <w:i w:val="false"/>
          <w:color w:val="000000"/>
          <w:sz w:val="22"/>
        </w:rPr>
        <w:t>Sales of medical cannabidiol to dispensaries;</w:t>
      </w:r>
    </w:p>
    <w:p>
      <w:pPr>
        <w:numPr>
          <w:ilvl w:val="0"/>
          <w:numId w:val="10"/>
        </w:numPr>
        <w:spacing w:before="0" w:after="0"/>
        <w:jc w:val="both"/>
      </w:pPr>
      <w:r>
        <w:rPr>
          <w:rFonts w:ascii="Times New Roman" w:hAnsi="Times New Roman"/>
          <w:b w:val="false"/>
          <w:i w:val="false"/>
          <w:color w:val="000000"/>
          <w:sz w:val="22"/>
        </w:rPr>
        <w:t>Sales of medical cannabidiol from dispensaries to patients and primary caregivers.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641—154.24</w:t>
      </w:r>
      <w:r>
        <w:rPr>
          <w:rFonts w:ascii="Times New Roman" w:hAnsi="Times New Roman"/>
          <w:b/>
          <w:i w:val="false"/>
          <w:color w:val="000000"/>
          <w:sz w:val="22"/>
        </w:rPr>
        <w:t xml:space="preserve">(124E) </w:t>
      </w:r>
      <w:r>
        <w:rPr>
          <w:rFonts w:ascii="Times New Roman" w:hAnsi="Times New Roman"/>
          <w:b/>
          <w:i w:val="false"/>
          <w:color w:val="000000"/>
          <w:sz w:val="22"/>
        </w:rPr>
        <w:t xml:space="preserve">Financial transactions. </w:t>
      </w:r>
    </w:p>
    <w:p>
      <w:pPr>
        <w:spacing w:before="0" w:after="0"/>
        <w:ind w:left="120"/>
        <w:jc w:val="both"/>
      </w:pPr>
      <w:r>
        <w:rPr>
          <w:rFonts w:ascii="Times New Roman" w:hAnsi="Times New Roman"/>
          <w:b/>
          <w:i w:val="false"/>
          <w:color w:val="000000"/>
          <w:sz w:val="22"/>
        </w:rPr>
        <w:t>154.24(1)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or dispensary shall maintain records that reflect all financial transactions and the financial condition of the business. </w:t>
      </w:r>
    </w:p>
    <w:p>
      <w:pPr>
        <w:spacing w:before="0" w:after="0"/>
        <w:ind w:left="120"/>
        <w:jc w:val="both"/>
      </w:pPr>
      <w:r>
        <w:rPr>
          <w:rFonts w:ascii="Times New Roman" w:hAnsi="Times New Roman"/>
          <w:b/>
          <w:i w:val="false"/>
          <w:color w:val="000000"/>
          <w:sz w:val="22"/>
        </w:rPr>
        <w:t>154.24(2)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records shall be maintained for at least five years and made available for review upon request of the department: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Purchase invoices, bills of lading, sales records, copies of bills of sale, and any supporting documents, including the items or services purchased, from whom the items were purchased, and the date of purchase;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Bank statements and canceled checks for all business accounts;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Accounting and tax records;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Records of all financial transactions, including contracts and agreements for services performed or services received.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641—154.25</w:t>
      </w:r>
      <w:r>
        <w:rPr>
          <w:rFonts w:ascii="Times New Roman" w:hAnsi="Times New Roman"/>
          <w:b/>
          <w:i w:val="false"/>
          <w:color w:val="000000"/>
          <w:sz w:val="22"/>
        </w:rPr>
        <w:t xml:space="preserve">(124E) </w:t>
      </w:r>
      <w:r>
        <w:rPr>
          <w:rFonts w:ascii="Times New Roman" w:hAnsi="Times New Roman"/>
          <w:b/>
          <w:i w:val="false"/>
          <w:color w:val="000000"/>
          <w:sz w:val="22"/>
        </w:rPr>
        <w:t xml:space="preserve">Inspection by department or independent consultant. </w:t>
      </w:r>
      <w:r>
        <w:rPr>
          <w:rFonts w:ascii="Times New Roman" w:hAnsi="Times New Roman"/>
          <w:b w:val="false"/>
          <w:i w:val="false"/>
          <w:color w:val="000000"/>
          <w:sz w:val="22"/>
        </w:rPr>
        <w:t xml:space="preserve">A manufacturer or dispensary is subject to reasonable inspection by the department, a department-approved consultant, or another agency pursuant to Iowa Code chapter </w:t>
      </w:r>
      <w:hyperlink r:id="rId5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and as authorized by laws and regulations.</w:t>
      </w:r>
    </w:p>
    <w:p>
      <w:pPr>
        <w:spacing w:before="0" w:after="0"/>
        <w:ind w:left="120"/>
        <w:jc w:val="both"/>
      </w:pPr>
      <w:r>
        <w:rPr>
          <w:rFonts w:ascii="Times New Roman" w:hAnsi="Times New Roman"/>
          <w:b/>
          <w:i w:val="false"/>
          <w:color w:val="000000"/>
          <w:sz w:val="22"/>
        </w:rPr>
        <w:t>154.25(1)</w:t>
      </w:r>
      <w:r>
        <w:rPr>
          <w:rFonts w:ascii="Times New Roman" w:hAnsi="Times New Roman"/>
          <w:b w:val="false"/>
          <w:i w:val="false"/>
          <w:color w:val="000000"/>
          <w:sz w:val="22"/>
        </w:rPr>
        <w:t> </w:t>
      </w:r>
      <w:r>
        <w:rPr>
          <w:rFonts w:ascii="Times New Roman" w:hAnsi="Times New Roman"/>
          <w:b w:val="false"/>
          <w:i/>
          <w:color w:val="000000"/>
          <w:sz w:val="22"/>
        </w:rPr>
        <w:t xml:space="preserve">Types of inspections. </w:t>
      </w:r>
      <w:r>
        <w:rPr>
          <w:rFonts w:ascii="Times New Roman" w:hAnsi="Times New Roman"/>
          <w:b w:val="false"/>
          <w:i w:val="false"/>
          <w:color w:val="000000"/>
          <w:sz w:val="22"/>
        </w:rPr>
        <w:t>Inspections may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Aspects of the business operations;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manufacturing facility or the physical location of a dispensary, including any storage facility;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Vehicles used for transport or delivery of medical cannabidiol or plant material;</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Financial information and inventory documentation;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Physical and electronic security alarm systems;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Health and sanitary inspection; and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Other inspections as determined by the department.</w:t>
      </w:r>
    </w:p>
    <w:p>
      <w:pPr>
        <w:spacing w:before="0" w:after="0"/>
        <w:ind w:left="120"/>
        <w:jc w:val="both"/>
      </w:pPr>
      <w:r>
        <w:rPr>
          <w:rFonts w:ascii="Times New Roman" w:hAnsi="Times New Roman"/>
          <w:b/>
          <w:i w:val="false"/>
          <w:color w:val="000000"/>
          <w:sz w:val="22"/>
        </w:rPr>
        <w:t>154.25(2)</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w:t>
      </w:r>
      <w:r>
        <w:rPr>
          <w:rFonts w:ascii="Times New Roman" w:hAnsi="Times New Roman"/>
          <w:b w:val="false"/>
          <w:i w:val="false"/>
          <w:color w:val="000000"/>
          <w:sz w:val="22"/>
        </w:rPr>
        <w:t>A manufacturer or dispensary shall respond to deficiencies found during inspections or inventory reconciliation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Deficiencies not related to inventory reconciliation.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Upon written notification by the department of deficiencies that do not involve reconciliation of inventory, a manufacturer or dispensary shall have up to 30 days to submit an action plan to the department with proposed remedies and timelines for completion of the remedies.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department shall have up to two weeks to accept or require revision of the action plan.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Deficiencies related to inventory reconciliation.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Upon notifying the department that the manufacturer or dispensary cannot reconcile the physical inventory with the inventory recorded in the secure sales and inventory tracking system, the manufacturer or dispensary shall have up to two business days to submit an action plan to the department with proposed remedies and timelines for completion of the remedies.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department shall have up to two business days to accept or require revision of the action plan.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Failure to complete actions in the action plan within the timelines mutually agreed upon by the manufacturer and the department shall result in assessment of penalties or in suspension or revocation of a manufacturer or dispensary license.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At the department’s request and in a timely manner, a manufacturer or dispensary shall pay for and undergo an independent health and sanitary inspection in accordance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MANUFACTURING</w:t>
      </w:r>
    </w:p>
    <w:p>
      <w:pPr>
        <w:spacing w:before="0" w:after="0"/>
        <w:ind w:left="120"/>
        <w:jc w:val="both"/>
      </w:pPr>
      <w:r>
        <w:rPr>
          <w:rFonts w:ascii="Times New Roman" w:hAnsi="Times New Roman"/>
          <w:b/>
          <w:i w:val="false"/>
          <w:color w:val="000000"/>
          <w:sz w:val="22"/>
        </w:rPr>
        <w:t>641—154.26</w:t>
      </w:r>
      <w:r>
        <w:rPr>
          <w:rFonts w:ascii="Times New Roman" w:hAnsi="Times New Roman"/>
          <w:b/>
          <w:i w:val="false"/>
          <w:color w:val="000000"/>
          <w:sz w:val="22"/>
        </w:rPr>
        <w:t xml:space="preserve">(124E) </w:t>
      </w:r>
      <w:r>
        <w:rPr>
          <w:rFonts w:ascii="Times New Roman" w:hAnsi="Times New Roman"/>
          <w:b/>
          <w:i w:val="false"/>
          <w:color w:val="000000"/>
          <w:sz w:val="22"/>
        </w:rPr>
        <w:t xml:space="preserve">Manufacturer operations. </w:t>
      </w:r>
    </w:p>
    <w:p>
      <w:pPr>
        <w:spacing w:before="0" w:after="0"/>
        <w:ind w:left="120"/>
        <w:jc w:val="both"/>
      </w:pPr>
      <w:r>
        <w:rPr>
          <w:rFonts w:ascii="Times New Roman" w:hAnsi="Times New Roman"/>
          <w:b/>
          <w:i w:val="false"/>
          <w:color w:val="000000"/>
          <w:sz w:val="22"/>
        </w:rPr>
        <w:t>154.26(1)</w:t>
      </w:r>
      <w:r>
        <w:rPr>
          <w:rFonts w:ascii="Times New Roman" w:hAnsi="Times New Roman"/>
          <w:b w:val="false"/>
          <w:i w:val="false"/>
          <w:color w:val="000000"/>
          <w:sz w:val="22"/>
        </w:rPr>
        <w:t> </w:t>
      </w:r>
      <w:r>
        <w:rPr>
          <w:rFonts w:ascii="Times New Roman" w:hAnsi="Times New Roman"/>
          <w:b w:val="false"/>
          <w:i/>
          <w:color w:val="000000"/>
          <w:sz w:val="22"/>
        </w:rPr>
        <w:t xml:space="preserve">Operating documents.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shall maintain operating documents that accurately reflect the manufacturer’s standard operating procedures. Unless otherwise noted, a manufacturer shall make the operating documents available to the department upon request, through secure means.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operating documents of a manufacturer shall include all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Procedures for the oversight of the manufacturer, including descriptions of operational and management practices regarding: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forms and quantities of medical cannabidiol products that are produced at the manufacturing facility;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methods of planting, harvesting, drying, and storing cannabis. A manufacturer may make operating documents for these procedures available on site only;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estimated types and amounts of all crop inputs used in the production of medical cannabidiol;</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disposal methods for all waste materials;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Employee training methods for the specific phases of production. A manufacturer may make operating documents for these procedures available on site only;</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Biosecurity measures and standard operating procedures used in the production and manufacturing of medical cannabidiol. A manufacturer may make operating documents for these procedures available on site only;</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Strategies for identifying and reconciling discrepancies in inventory of plant material or medical cannabidiol;</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Sampling strategy and quality testing for labeling purposes. A manufacturer may make operating documents for these procedures available on site only;</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Medical cannabidiol packaging and labeling procedures;</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Procedures for recall of medical cannabidiol;</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Plans for responding to a security breach at a manufacturing facility or while medical cannabidiol is in transit to a dispensary. A manufacturer may make operating documents for these procedures available on site only;</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A business continuity plan. A manufacturer may make this operating document available on site only;</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Records relating to all transport activities; and</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Other information requested by the department.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Procedures to ensure accurate recordkeeping.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Procedures for the implementation of appropriate security measures to deter and prevent the theft of medical cannabidiol and unauthorized entrance into areas containing medical cannabidiol. A manufacturer may make operating documents for these procedures available on site only.</w:t>
      </w:r>
    </w:p>
    <w:p>
      <w:pPr>
        <w:spacing w:before="0" w:after="0"/>
        <w:ind w:left="120"/>
        <w:jc w:val="both"/>
      </w:pPr>
      <w:r>
        <w:rPr>
          <w:rFonts w:ascii="Times New Roman" w:hAnsi="Times New Roman"/>
          <w:b/>
          <w:i w:val="false"/>
          <w:color w:val="000000"/>
          <w:sz w:val="22"/>
        </w:rPr>
        <w:t>154.26(2)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 xml:space="preserve">In addition to following all provisions of Iowa Code section </w:t>
      </w:r>
      <w:hyperlink r:id="rId51">
        <w:r>
          <w:rPr>
            <w:rStyle w:val="Hyperlink"/>
            <w:rFonts w:ascii="Times New Roman" w:hAnsi="Times New Roman"/>
            <w:b w:val="false"/>
            <w:i w:val="false"/>
            <w:color w:val="000000"/>
            <w:sz w:val="22"/>
          </w:rPr>
          <w:t>124E.7</w:t>
        </w:r>
      </w:hyperlink>
      <w:r>
        <w:rPr>
          <w:rFonts w:ascii="Times New Roman" w:hAnsi="Times New Roman"/>
          <w:b w:val="false"/>
          <w:i w:val="false"/>
          <w:color w:val="000000"/>
          <w:sz w:val="22"/>
        </w:rPr>
        <w:t>, a manufacturer shall not: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Produce or manufacture medical cannabidiol in any location except in those areas approved by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Sell, deliver, transport, or distribute medical cannabidiol from any location except its manufacturing facility or a dispensary facility;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Produce or manufacture medical cannabidiol in Iowa for sales or distribution outside of Iowa;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Sell or distribute medical cannabidiol to any person or business other than a dispensary or manufacturer licensed by the department under Iowa Code chapter </w:t>
      </w:r>
      <w:hyperlink r:id="rId52">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Refuse to sell, deliver, transport, or distribute medical cannabidiol in any form or quantity produced by the manufacturer to a dispensary, unless deemed appropriate in the manufacturer’s reasonable business judgment and approved by the department in writing;</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Transport or deliver medical cannabidiol to any location except as allowed in subrule </w:t>
      </w:r>
      <w:hyperlink r:id="rId53">
        <w:r>
          <w:rPr>
            <w:rStyle w:val="Hyperlink"/>
            <w:rFonts w:ascii="Times New Roman" w:hAnsi="Times New Roman"/>
            <w:b w:val="false"/>
            <w:i w:val="false"/>
            <w:color w:val="000000"/>
            <w:sz w:val="22"/>
          </w:rPr>
          <w:t>154.22(1)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Introduce synthetic or semisynthetic cannabinoids derived from hemp into medical cannabidiol products;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Produce synthetic or semisynthetic cannabinoids within the licensed manufacturing facility.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641—154.27</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i w:val="false"/>
          <w:color w:val="000000"/>
          <w:sz w:val="22"/>
        </w:rPr>
        <w:t>154.27(1)</w:t>
      </w:r>
      <w:r>
        <w:rPr>
          <w:rFonts w:ascii="Times New Roman" w:hAnsi="Times New Roman"/>
          <w:b w:val="false"/>
          <w:i w:val="false"/>
          <w:color w:val="000000"/>
          <w:sz w:val="22"/>
        </w:rPr>
        <w:t> </w:t>
      </w:r>
      <w:r>
        <w:rPr>
          <w:rFonts w:ascii="Times New Roman" w:hAnsi="Times New Roman"/>
          <w:b w:val="false"/>
          <w:i/>
          <w:color w:val="000000"/>
          <w:sz w:val="22"/>
        </w:rPr>
        <w:t xml:space="preserve">Manufacturer sales and distribution. </w:t>
      </w:r>
      <w:r>
        <w:rPr>
          <w:rFonts w:ascii="Times New Roman" w:hAnsi="Times New Roman"/>
          <w:b w:val="false"/>
          <w:i w:val="false"/>
          <w:color w:val="000000"/>
          <w:sz w:val="22"/>
        </w:rPr>
        <w:t>A manufacturer shall maintain complete and accurate electronic sales transaction records in the department’s secure sales and inventory tracking system, including: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date of each sale or distribution;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item number, product name and description, and quantity of medical cannabidiol sold or otherwise distributed;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sale price.</w:t>
      </w:r>
    </w:p>
    <w:p>
      <w:pPr>
        <w:spacing w:before="0" w:after="0"/>
        <w:ind w:left="120"/>
        <w:jc w:val="both"/>
      </w:pPr>
      <w:r>
        <w:rPr>
          <w:rFonts w:ascii="Times New Roman" w:hAnsi="Times New Roman"/>
          <w:b/>
          <w:i w:val="false"/>
          <w:color w:val="000000"/>
          <w:sz w:val="22"/>
        </w:rPr>
        <w:t>154.27(2)</w:t>
      </w:r>
      <w:r>
        <w:rPr>
          <w:rFonts w:ascii="Times New Roman" w:hAnsi="Times New Roman"/>
          <w:b w:val="false"/>
          <w:i w:val="false"/>
          <w:color w:val="000000"/>
          <w:sz w:val="22"/>
        </w:rPr>
        <w:t> </w:t>
      </w:r>
      <w:r>
        <w:rPr>
          <w:rFonts w:ascii="Times New Roman" w:hAnsi="Times New Roman"/>
          <w:b w:val="false"/>
          <w:i/>
          <w:color w:val="000000"/>
          <w:sz w:val="22"/>
        </w:rPr>
        <w:t xml:space="preserve">Manufacturer operations and inventory reporting other records.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or dispensary shall maintain the following for at least five years, unless otherwise noted, and provide to the department upon request: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All personnel records;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Records of any theft, loss, or other unaccountability of any medical cannabidiol or plant material;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Transportation manifests and incident reports;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Records of all samples sent to a testing laboratory and the quality assurance test results.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manufacturer or dispensary shall maintain for at least one year and provide to the department upon request its controlled access system data and visitor manifests.</w:t>
      </w:r>
    </w:p>
    <w:p>
      <w:pPr>
        <w:spacing w:before="0" w:after="0"/>
        <w:ind w:left="120"/>
        <w:jc w:val="both"/>
      </w:pPr>
      <w:r>
        <w:rPr>
          <w:rFonts w:ascii="Times New Roman" w:hAnsi="Times New Roman"/>
          <w:b/>
          <w:i w:val="false"/>
          <w:color w:val="000000"/>
          <w:sz w:val="22"/>
        </w:rPr>
        <w:t>154.27(3)</w:t>
      </w:r>
      <w:r>
        <w:rPr>
          <w:rFonts w:ascii="Times New Roman" w:hAnsi="Times New Roman"/>
          <w:b w:val="false"/>
          <w:i w:val="false"/>
          <w:color w:val="000000"/>
          <w:sz w:val="22"/>
        </w:rPr>
        <w:t> </w:t>
      </w:r>
      <w:r>
        <w:rPr>
          <w:rFonts w:ascii="Times New Roman" w:hAnsi="Times New Roman"/>
          <w:b w:val="false"/>
          <w:i/>
          <w:color w:val="000000"/>
          <w:sz w:val="22"/>
        </w:rPr>
        <w:t xml:space="preserve">Manufacturer entry into the secure sales and tracking system.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or dispensary shall use the secure sales and inventory tracking system to maintain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Batch and harvest records;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Crop input and additive records;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Extraction and production records;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Transportation records; </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Inventory records;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Solvent and processing chemical records; and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Other records as determined by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Unless otherwise provided in these rules, a manufacturer shall adhere to the following schedule for entering data into the secure sales and inventory tracking system. A manufacturer shall enter data in real time for data related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Transport of medical cannabidiol, plant material, and laboratory samples;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Sales of medical cannabidiol to dispensaries;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creation of process lots containing a unique identifier;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creation of package lots containing a unique identifier.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manufacturer shall enter inventory reports on key inventory events into the secure sales and inventory tracking system within five business days in which the event occurred. These inventory reports include but are not limited to:</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Batch reports;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Crop input and additive reports;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Harvest reports;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Extraction reports;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Solvent and processing chemical reports;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Package lot reports; </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Certificates of analysis from a laboratory;</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Other records as determined by the department.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State of Iowa manufacturer API guide. The department shall maintain a document describing the IT requirements and acceptance criteria for reporting information to the secure sales and inventory tracking system. The department shall provide manufacturers no less than 14 days in which to comment on proposed revisions to the document, and the department shall provide no less than 30 days’ notice before a revision takes effect. The document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schedule and means of data reporting;</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Integration requirements for third-party vendors;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Be available on the department’s website (</w:t>
      </w:r>
      <w:hyperlink r:id="rId54">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641—154.28</w:t>
      </w:r>
      <w:r>
        <w:rPr>
          <w:rFonts w:ascii="Times New Roman" w:hAnsi="Times New Roman"/>
          <w:b/>
          <w:i w:val="false"/>
          <w:color w:val="000000"/>
          <w:sz w:val="22"/>
        </w:rPr>
        <w:t xml:space="preserve">(124E) </w:t>
      </w:r>
      <w:r>
        <w:rPr>
          <w:rFonts w:ascii="Times New Roman" w:hAnsi="Times New Roman"/>
          <w:b/>
          <w:i w:val="false"/>
          <w:color w:val="000000"/>
          <w:sz w:val="22"/>
        </w:rPr>
        <w:t xml:space="preserve">Recall of medical cannabidiol products. </w:t>
      </w:r>
      <w:r>
        <w:rPr>
          <w:rFonts w:ascii="Times New Roman" w:hAnsi="Times New Roman"/>
          <w:b w:val="false"/>
          <w:i w:val="false"/>
          <w:color w:val="000000"/>
          <w:sz w:val="22"/>
        </w:rPr>
        <w:t>Medical cannabidiol products may be recalled in the following ways:</w:t>
      </w:r>
    </w:p>
    <w:p>
      <w:pPr>
        <w:spacing w:before="0" w:after="0"/>
        <w:ind w:left="120"/>
        <w:jc w:val="both"/>
      </w:pPr>
      <w:r>
        <w:rPr>
          <w:rFonts w:ascii="Times New Roman" w:hAnsi="Times New Roman"/>
          <w:b/>
          <w:i w:val="false"/>
          <w:color w:val="000000"/>
          <w:sz w:val="22"/>
        </w:rPr>
        <w:t>154.28(1)</w:t>
      </w:r>
      <w:r>
        <w:rPr>
          <w:rFonts w:ascii="Times New Roman" w:hAnsi="Times New Roman"/>
          <w:b w:val="false"/>
          <w:i w:val="false"/>
          <w:color w:val="000000"/>
          <w:sz w:val="22"/>
        </w:rPr>
        <w:t> </w:t>
      </w:r>
      <w:r>
        <w:rPr>
          <w:rFonts w:ascii="Times New Roman" w:hAnsi="Times New Roman"/>
          <w:b w:val="false"/>
          <w:i w:val="false"/>
          <w:color w:val="000000"/>
          <w:sz w:val="22"/>
        </w:rPr>
        <w:t xml:space="preserve">Voluntarily by a licensed manufacturer. </w:t>
      </w:r>
    </w:p>
    <w:p>
      <w:pPr>
        <w:spacing w:before="0" w:after="0"/>
        <w:ind w:left="120"/>
        <w:jc w:val="both"/>
      </w:pPr>
      <w:r>
        <w:rPr>
          <w:rFonts w:ascii="Times New Roman" w:hAnsi="Times New Roman"/>
          <w:b/>
          <w:i w:val="false"/>
          <w:color w:val="000000"/>
          <w:sz w:val="22"/>
        </w:rPr>
        <w:t>154.28(2)</w:t>
      </w:r>
      <w:r>
        <w:rPr>
          <w:rFonts w:ascii="Times New Roman" w:hAnsi="Times New Roman"/>
          <w:b w:val="false"/>
          <w:i w:val="false"/>
          <w:color w:val="000000"/>
          <w:sz w:val="22"/>
        </w:rPr>
        <w:t> </w:t>
      </w:r>
      <w:r>
        <w:rPr>
          <w:rFonts w:ascii="Times New Roman" w:hAnsi="Times New Roman"/>
          <w:b w:val="false"/>
          <w:i w:val="false"/>
          <w:color w:val="000000"/>
          <w:sz w:val="22"/>
        </w:rPr>
        <w:t>By the department. If the department determines, based on an evaluation, that there is a reasonable probability that use of, or exposure to, a violative medical cannabidiol product will cause a serious adverse health consequence or death, the department may require a manufacturer to recall such violative medical cannabidiol products from dispensaries. An evaluation of the health hazard presented by medical cannabidiol being considered for recall shall be conducted by an ad hoc committee of scientists appointed by the department and shall consider, but need not be limited to, each of the following factors: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Whether any disease or injuries have already occurred from the product.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Whether any existing conditions could contribute to a clinical situation that could expose humans to a health hazard. Any conclusion shall be supported as completely as possible by scientific documentation, statements, or both that the conclusion is the opinion of the individual(s) making the health hazard determination.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A holistic assessment of the hazard and its present and future potential consequences.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641—154.29</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assurance and control. </w:t>
      </w:r>
    </w:p>
    <w:p>
      <w:pPr>
        <w:spacing w:before="0" w:after="0"/>
        <w:ind w:left="120"/>
        <w:jc w:val="both"/>
      </w:pPr>
      <w:r>
        <w:rPr>
          <w:rFonts w:ascii="Times New Roman" w:hAnsi="Times New Roman"/>
          <w:b/>
          <w:i w:val="false"/>
          <w:color w:val="000000"/>
          <w:sz w:val="22"/>
        </w:rPr>
        <w:t>154.29(1)</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program. </w:t>
      </w:r>
      <w:r>
        <w:rPr>
          <w:rFonts w:ascii="Times New Roman" w:hAnsi="Times New Roman"/>
          <w:b w:val="false"/>
          <w:i w:val="false"/>
          <w:color w:val="000000"/>
          <w:sz w:val="22"/>
        </w:rPr>
        <w:t>A manufacturer shall develop and implement a written quality assurance program that assesses the chemical and microbiological composition of medical cannabidiol. Assessment includes a profile of the active ingredients, including stability studies, and the presence of inactive ingredients and contaminants. A manufacturer shall use these testing results to determine appropriate storage conditions and product expiration dates.</w:t>
      </w:r>
    </w:p>
    <w:p>
      <w:pPr>
        <w:spacing w:before="0" w:after="0"/>
        <w:ind w:left="120"/>
        <w:jc w:val="both"/>
      </w:pPr>
      <w:r>
        <w:rPr>
          <w:rFonts w:ascii="Times New Roman" w:hAnsi="Times New Roman"/>
          <w:b/>
          <w:i w:val="false"/>
          <w:color w:val="000000"/>
          <w:sz w:val="22"/>
        </w:rPr>
        <w:t>154.29(2)</w:t>
      </w:r>
      <w:r>
        <w:rPr>
          <w:rFonts w:ascii="Times New Roman" w:hAnsi="Times New Roman"/>
          <w:b w:val="false"/>
          <w:i w:val="false"/>
          <w:color w:val="000000"/>
          <w:sz w:val="22"/>
        </w:rPr>
        <w:t> </w:t>
      </w:r>
      <w:r>
        <w:rPr>
          <w:rFonts w:ascii="Times New Roman" w:hAnsi="Times New Roman"/>
          <w:b w:val="false"/>
          <w:i/>
          <w:color w:val="000000"/>
          <w:sz w:val="22"/>
        </w:rPr>
        <w:t xml:space="preserve">Sampling protocols. </w:t>
      </w:r>
      <w:r>
        <w:rPr>
          <w:rFonts w:ascii="Times New Roman" w:hAnsi="Times New Roman"/>
          <w:b w:val="false"/>
          <w:i w:val="false"/>
          <w:color w:val="000000"/>
          <w:sz w:val="22"/>
        </w:rPr>
        <w:t>A manufacturer shall develop and follow written procedures for sampling medical cannabidiol that require the manufacturer to: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Conduct sample collection in a manner that provides analytically sound and representative samples;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Document every sampling event and provide this documentation to the department upon request;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Describe all sampling and testing plans in written procedures that include the sampling method and the number of units per lot to be tested;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Ensure that random samples from each lot are: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Taken in an amount necessary to conduct the applicable test;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Labeled with the lot number;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Submitted for testing;</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Retain the results from the random samples for at least five years; and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Notify the department at least two business days prior to sample collection and allow the department or its designees to be present to observe the sampling procedures when the samples are to be sent to a laboratory for testing.</w:t>
      </w:r>
    </w:p>
    <w:p>
      <w:pPr>
        <w:spacing w:before="0" w:after="0"/>
        <w:ind w:left="120"/>
        <w:jc w:val="both"/>
      </w:pPr>
      <w:r>
        <w:rPr>
          <w:rFonts w:ascii="Times New Roman" w:hAnsi="Times New Roman"/>
          <w:b/>
          <w:i w:val="false"/>
          <w:color w:val="000000"/>
          <w:sz w:val="22"/>
        </w:rPr>
        <w:t>154.29(3)</w:t>
      </w:r>
      <w:r>
        <w:rPr>
          <w:rFonts w:ascii="Times New Roman" w:hAnsi="Times New Roman"/>
          <w:b w:val="false"/>
          <w:i w:val="false"/>
          <w:color w:val="000000"/>
          <w:sz w:val="22"/>
        </w:rPr>
        <w:t> </w:t>
      </w:r>
      <w:r>
        <w:rPr>
          <w:rFonts w:ascii="Times New Roman" w:hAnsi="Times New Roman"/>
          <w:b w:val="false"/>
          <w:i/>
          <w:color w:val="000000"/>
          <w:sz w:val="22"/>
        </w:rPr>
        <w:t xml:space="preserve">Sampling and testing. </w:t>
      </w:r>
      <w:r>
        <w:rPr>
          <w:rFonts w:ascii="Times New Roman" w:hAnsi="Times New Roman"/>
          <w:b w:val="false"/>
          <w:i w:val="false"/>
          <w:color w:val="000000"/>
          <w:sz w:val="22"/>
        </w:rPr>
        <w:t>A manufacturer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Work with the department and laboratory personnel to develop acceptance criteria for contaminants, including but not limited to cannabinoid content, metals, microbiological impurities, solvents, or other contaminants that the manufacturer uses in cultivating and producing medical cannabidiol;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Conduct sampling and testing of plant material and medical cannabidiol lots using acceptance criteria that are protective of patient health. Sampling method results shall be approved by the department and laboratory personnel and shall ensure that lots of medical cannabidiol are homogenous and representative of the process or package lot;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Reject and destroy medical cannabidiol from a lot that fails to meet established standards, and any other relevant quality control criteria, when remixing and retesting are not warranted;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Develop and follow a written procedure for responding to results failing to meet established standards, and any other relevant quality control criteria,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Criteria for when remixing and retesting are warranted;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Instructions for destroying contaminated or substandard medical cannabidiol when remixing and retesting are not warranted;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Instructions for determining the source of contamination;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Retain documentation of test results, assessment, and destruction of medical cannabidiol for at least five years.</w:t>
      </w:r>
    </w:p>
    <w:p>
      <w:pPr>
        <w:spacing w:before="0" w:after="0"/>
        <w:ind w:left="120"/>
        <w:jc w:val="both"/>
      </w:pPr>
      <w:r>
        <w:rPr>
          <w:rFonts w:ascii="Times New Roman" w:hAnsi="Times New Roman"/>
          <w:b/>
          <w:i w:val="false"/>
          <w:color w:val="000000"/>
          <w:sz w:val="22"/>
        </w:rPr>
        <w:t>154.29(4)</w:t>
      </w:r>
      <w:r>
        <w:rPr>
          <w:rFonts w:ascii="Times New Roman" w:hAnsi="Times New Roman"/>
          <w:b w:val="false"/>
          <w:i w:val="false"/>
          <w:color w:val="000000"/>
          <w:sz w:val="22"/>
        </w:rPr>
        <w:t> </w:t>
      </w:r>
      <w:r>
        <w:rPr>
          <w:rFonts w:ascii="Times New Roman" w:hAnsi="Times New Roman"/>
          <w:b w:val="false"/>
          <w:i/>
          <w:color w:val="000000"/>
          <w:sz w:val="22"/>
        </w:rPr>
        <w:t xml:space="preserve">Stability testing.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quality assurance program shall include procedures for performing stability testing of each product type produced to determine product expiration dates. The procedures shall describe: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Sample size and test intervals based on departmental guidance pursuant to subrule </w:t>
      </w:r>
      <w:hyperlink r:id="rId55">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Storage conditions for samples retained for testing;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Reliable and specific test methods.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Stability studies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Medical cannabidiol testing at appropriate intervals;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Medical cannabidiol testing in the same container-closure system in which the medical cannabidiol is marketed and dispensed.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If product-expiration-date studies have not been completed, a manufacturer shall assign a tentative product expiration date, not to exceed one year, based on any available stability information.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If a manufacturer determines a product expiration date beyond one year, a manufacturer shall submit justification to the department, and receive approval, prior to labeling a product with an expiration date beyond one year.</w:t>
      </w:r>
    </w:p>
    <w:p>
      <w:pPr>
        <w:spacing w:before="0" w:after="0"/>
        <w:ind w:left="120"/>
        <w:jc w:val="both"/>
      </w:pPr>
      <w:r>
        <w:rPr>
          <w:rFonts w:ascii="Times New Roman" w:hAnsi="Times New Roman"/>
          <w:b/>
          <w:i w:val="false"/>
          <w:color w:val="000000"/>
          <w:sz w:val="22"/>
        </w:rPr>
        <w:t>154.29(5)</w:t>
      </w:r>
      <w:r>
        <w:rPr>
          <w:rFonts w:ascii="Times New Roman" w:hAnsi="Times New Roman"/>
          <w:b w:val="false"/>
          <w:i w:val="false"/>
          <w:color w:val="000000"/>
          <w:sz w:val="22"/>
        </w:rPr>
        <w:t> </w:t>
      </w:r>
      <w:r>
        <w:rPr>
          <w:rFonts w:ascii="Times New Roman" w:hAnsi="Times New Roman"/>
          <w:b w:val="false"/>
          <w:i/>
          <w:color w:val="000000"/>
          <w:sz w:val="22"/>
        </w:rPr>
        <w:t xml:space="preserve">Reserve samples.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shall retain a uniquely labeled reserve sample that represents each lot of medical cannabidiol and store the reserve sample under conditions consistent with product labeling. The reserve sample shall be stored in the same immediate container-closure system in which the medical cannabidiol is marketed or in one that has similar characteristics. The reserve sample shall consist of at least twice the quantity necessary to perform all the required tests.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manufacturer shall retain the reserve for at least one year from the date of manufacture.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After one year from the date of manufacture, reserve samples shall be destroyed.</w:t>
      </w:r>
    </w:p>
    <w:p>
      <w:pPr>
        <w:spacing w:before="0" w:after="0"/>
        <w:ind w:left="120"/>
        <w:jc w:val="both"/>
      </w:pPr>
      <w:r>
        <w:rPr>
          <w:rFonts w:ascii="Times New Roman" w:hAnsi="Times New Roman"/>
          <w:b/>
          <w:i w:val="false"/>
          <w:color w:val="000000"/>
          <w:sz w:val="22"/>
        </w:rPr>
        <w:t>154.29(6)</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If the department deems that public health may be at risk, the department may require the manufacturer to retest any sample of medical cannabidiol.</w:t>
      </w:r>
    </w:p>
    <w:p>
      <w:pPr>
        <w:spacing w:before="0" w:after="0"/>
        <w:ind w:left="120"/>
        <w:jc w:val="both"/>
      </w:pPr>
      <w:r>
        <w:rPr>
          <w:rFonts w:ascii="Times New Roman" w:hAnsi="Times New Roman"/>
          <w:b/>
          <w:i w:val="false"/>
          <w:color w:val="000000"/>
          <w:sz w:val="22"/>
        </w:rPr>
        <w:t>154.29(7)</w:t>
      </w:r>
      <w:r>
        <w:rPr>
          <w:rFonts w:ascii="Times New Roman" w:hAnsi="Times New Roman"/>
          <w:b w:val="false"/>
          <w:i w:val="false"/>
          <w:color w:val="000000"/>
          <w:sz w:val="22"/>
        </w:rPr>
        <w:t> </w:t>
      </w:r>
      <w:r>
        <w:rPr>
          <w:rFonts w:ascii="Times New Roman" w:hAnsi="Times New Roman"/>
          <w:b w:val="false"/>
          <w:i/>
          <w:color w:val="000000"/>
          <w:sz w:val="22"/>
        </w:rPr>
        <w:t xml:space="preserve">Disposal of substandard product. </w:t>
      </w:r>
      <w:r>
        <w:rPr>
          <w:rFonts w:ascii="Times New Roman" w:hAnsi="Times New Roman"/>
          <w:b w:val="false"/>
          <w:i w:val="false"/>
          <w:color w:val="000000"/>
          <w:sz w:val="22"/>
        </w:rPr>
        <w:t xml:space="preserve">A manufacturer shall dispose of all medical cannabidiol when samples fail to meet established standards, and other relevant quality control criteria. </w:t>
      </w:r>
    </w:p>
    <w:p>
      <w:pPr>
        <w:spacing w:before="0" w:after="0"/>
        <w:ind w:left="120"/>
        <w:jc w:val="both"/>
      </w:pPr>
      <w:r>
        <w:rPr>
          <w:rFonts w:ascii="Times New Roman" w:hAnsi="Times New Roman"/>
          <w:b/>
          <w:i w:val="false"/>
          <w:color w:val="000000"/>
          <w:sz w:val="22"/>
        </w:rPr>
        <w:t>154.29(8)</w:t>
      </w:r>
      <w:r>
        <w:rPr>
          <w:rFonts w:ascii="Times New Roman" w:hAnsi="Times New Roman"/>
          <w:b w:val="false"/>
          <w:i w:val="false"/>
          <w:color w:val="000000"/>
          <w:sz w:val="22"/>
        </w:rPr>
        <w:t> </w:t>
      </w:r>
      <w:r>
        <w:rPr>
          <w:rFonts w:ascii="Times New Roman" w:hAnsi="Times New Roman"/>
          <w:b w:val="false"/>
          <w:i/>
          <w:color w:val="000000"/>
          <w:sz w:val="22"/>
        </w:rPr>
        <w:t xml:space="preserve">Recall procedures. </w:t>
      </w:r>
      <w:r>
        <w:rPr>
          <w:rFonts w:ascii="Times New Roman" w:hAnsi="Times New Roman"/>
          <w:b w:val="false"/>
          <w:i w:val="false"/>
          <w:color w:val="000000"/>
          <w:sz w:val="22"/>
        </w:rPr>
        <w:t>Each manufacturer shall establish a procedure for recalling product from the market that has a reasonable probability of causing an unexpected or harmful response in a patient population, despite appropriate use, that outweighs the potential benefit of the medical cannabidiol. This procedure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Factors that make a recall necessary;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Manufacturer’s personnel who are responsible for overseeing the recall;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How to notify affected parties of a recall.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641—154.30</w:t>
      </w:r>
      <w:r>
        <w:rPr>
          <w:rFonts w:ascii="Times New Roman" w:hAnsi="Times New Roman"/>
          <w:b/>
          <w:i w:val="false"/>
          <w:color w:val="000000"/>
          <w:sz w:val="22"/>
        </w:rPr>
        <w:t xml:space="preserve">(124E) </w:t>
      </w:r>
      <w:r>
        <w:rPr>
          <w:rFonts w:ascii="Times New Roman" w:hAnsi="Times New Roman"/>
          <w:b/>
          <w:i w:val="false"/>
          <w:color w:val="000000"/>
          <w:sz w:val="22"/>
        </w:rPr>
        <w:t xml:space="preserve">Packaging and labeling. </w:t>
      </w:r>
    </w:p>
    <w:p>
      <w:pPr>
        <w:spacing w:before="0" w:after="0"/>
        <w:ind w:left="120"/>
        <w:jc w:val="both"/>
      </w:pPr>
      <w:r>
        <w:rPr>
          <w:rFonts w:ascii="Times New Roman" w:hAnsi="Times New Roman"/>
          <w:b/>
          <w:i w:val="false"/>
          <w:color w:val="000000"/>
          <w:sz w:val="22"/>
        </w:rPr>
        <w:t>154.30(1)</w:t>
      </w:r>
      <w:r>
        <w:rPr>
          <w:rFonts w:ascii="Times New Roman" w:hAnsi="Times New Roman"/>
          <w:b w:val="false"/>
          <w:i w:val="false"/>
          <w:color w:val="000000"/>
          <w:sz w:val="22"/>
        </w:rPr>
        <w:t> </w:t>
      </w:r>
      <w:r>
        <w:rPr>
          <w:rFonts w:ascii="Times New Roman" w:hAnsi="Times New Roman"/>
          <w:b w:val="false"/>
          <w:i/>
          <w:color w:val="000000"/>
          <w:sz w:val="22"/>
        </w:rPr>
        <w:t xml:space="preserve">Trade names. </w:t>
      </w:r>
      <w:r>
        <w:rPr>
          <w:rFonts w:ascii="Times New Roman" w:hAnsi="Times New Roman"/>
          <w:b w:val="false"/>
          <w:i w:val="false"/>
          <w:color w:val="000000"/>
          <w:sz w:val="22"/>
        </w:rPr>
        <w:t>A manufacturer’s medical cannabidiol trade names shall comply with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Names shall be limited to those that clearly reflect the form’s medical cannabidiol nature;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Any name that is identical to, or similar to, the name of an existing nonmedical cannabidiol product is prohibited;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Any name that is identical to, or similar to, the name of an unlawful product or substance is prohibited;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Any name that contains language that suggests using medical cannabidiol for recreational purposes or for a condition other than a qualifying debilitating medical condition is prohibited.</w:t>
      </w:r>
    </w:p>
    <w:p>
      <w:pPr>
        <w:spacing w:before="0" w:after="0"/>
        <w:ind w:left="120"/>
        <w:jc w:val="both"/>
      </w:pPr>
      <w:r>
        <w:rPr>
          <w:rFonts w:ascii="Times New Roman" w:hAnsi="Times New Roman"/>
          <w:b/>
          <w:i w:val="false"/>
          <w:color w:val="000000"/>
          <w:sz w:val="22"/>
        </w:rPr>
        <w:t>154.30(2)</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packaging.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Requirements of medical cannabidiol package containers. The manufacturer shall use medical containers that are: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Of sufficient size to accommodate a separate dispensary label containing the information described in paragraph </w:t>
      </w:r>
      <w:hyperlink r:id="rId56">
        <w:r>
          <w:rPr>
            <w:rStyle w:val="Hyperlink"/>
            <w:rFonts w:ascii="Times New Roman" w:hAnsi="Times New Roman"/>
            <w:b w:val="false"/>
            <w:i w:val="false"/>
            <w:color w:val="000000"/>
            <w:sz w:val="22"/>
          </w:rPr>
          <w:t>154.30(2)</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Designed to maximize the shelf life of the contained medical cannabidiol;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Tamper-evident;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Child-resistant.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Medical cannabidiol package prohibitions. The packaging for medical cannabidiol shall not: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Bear a reasonable resemblance to commonly available nonmedical commercial products;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Depict images other than the manufacturer’s business name or logo on the packaging;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Reasonably appeal to children. More information is provided in rule </w:t>
      </w:r>
      <w:hyperlink r:id="rId57">
        <w:r>
          <w:rPr>
            <w:rStyle w:val="Hyperlink"/>
            <w:rFonts w:ascii="Times New Roman" w:hAnsi="Times New Roman"/>
            <w:b w:val="false"/>
            <w:i w:val="false"/>
            <w:color w:val="000000"/>
            <w:sz w:val="22"/>
          </w:rPr>
          <w:t>641—154.22</w:t>
        </w:r>
      </w:hyperlink>
      <w:r>
        <w:rPr>
          <w:rFonts w:ascii="Times New Roman" w:hAnsi="Times New Roman"/>
          <w:b w:val="false"/>
          <w:i w:val="false"/>
          <w:color w:val="000000"/>
          <w:sz w:val="22"/>
        </w:rPr>
        <w:t>(2);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Reasonably appeal to recreational or adult use.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Requirements of medical cannabidiol packaging. A manufacturer shall ensure that all medical cannabidiol packaging includes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name of the manufacturer, and trade name if applicable;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label claim concentration for cannabinoid content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Tetrahydrocannabinol;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Tetrahydrocannabinolic acid. Concentrations of tetrahydrocannabinolic acid may be omitted if the manufacturer uses decarboxylation or other means to substantially remove the acids from the product prior to testing;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Cannabidiol;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Cannabidiolic acid. Concentrations of cannabinolic acid may be omitted if the manufacturer uses decarboxylation or other means to substantially remove the acids from the product prior to testing;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number of servings per package (excluding products intended for inhalation);</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directions for use of the product, including recommended and maximum amount by age and weight, if applicable;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All ingredients of the product shown with common or usual names, including but not limited to any additives, terpenes or artificial flavors, diluents and carriers, and preservatives, listed in descending order by predominance of weight. Any third-party hemp-derived cannabinoids in medical cannabidiol products shall be specifically indicated on the ingredients list, separately from medical cannabidiol produced within the manufacturer’s facility; </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Instructions for storage, including light and temperature requirements, if any; and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The universal warning symbol provided by the department.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The following information shall be included with medical cannabidiol packaging, or contained within a package insert: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notice with the statement, including capitalization: “This product has not been analyzed or approved by the United States Food and Drug Administration. There is limited information on the side effects of using this product, and there may be associated health risks and medication interactions. This product is not recommended for use by pregnant or breastfeeding women. KEEP THIS PRODUCT OUT OF REACH OF CHILDREN.”;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notice with the statement: “This medical cannabidiol is for therapeutic use only. Use of this product by a person other than the patient listed on the label is unlawful and may result in the cancellation of the patient’s medical cannabidiol registration card. Return unused medical cannabidiol to a dispensary for disposal.”;</w:t>
      </w:r>
    </w:p>
    <w:p>
      <w:pPr>
        <w:spacing w:before="0" w:after="0"/>
        <w:ind w:left="120"/>
        <w:jc w:val="both"/>
      </w:pPr>
      <w:r>
        <w:rPr>
          <w:rFonts w:ascii="Times New Roman" w:hAnsi="Times New Roman"/>
          <w:b w:val="false"/>
          <w:i w:val="false"/>
          <w:color w:val="000000"/>
          <w:sz w:val="22"/>
        </w:rPr>
        <w:t>A package may contain multiple labels if the information required by this rule is not obstructed.</w:t>
      </w:r>
    </w:p>
    <w:p>
      <w:pPr>
        <w:spacing w:before="0" w:after="0"/>
        <w:ind w:left="120"/>
        <w:jc w:val="both"/>
      </w:pPr>
      <w:r>
        <w:rPr>
          <w:rFonts w:ascii="Times New Roman" w:hAnsi="Times New Roman"/>
          <w:b/>
          <w:i w:val="false"/>
          <w:color w:val="000000"/>
          <w:sz w:val="22"/>
        </w:rPr>
        <w:t>154.30(3)</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labeling.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After receiving a passing certification of analysis for a package lot from a laboratory, and prior to distribution to dispensaries, a manufacturer shall affix a label to each individual package of medical cannabidiol that contains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unique lot number;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date of manufacture;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Product expiration date. This date shall be one year from the date of manufacture unless a manufacturer has conducted stability studies and received approval from the department for an extended expiration date.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Cannabinoid content for: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Tetrahydrocannabinol;</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Tetrahydrocannabinolic acid. Concentrations of tetrahydrocannabinolic acid may be omitted if the manufacturer uses chemical decarboxylation or other means to substantially remove the acids from the product prior to testing;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Cannabidiol;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Cannabidiolic acid.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641—154.31</w:t>
      </w:r>
      <w:r>
        <w:rPr>
          <w:rFonts w:ascii="Times New Roman" w:hAnsi="Times New Roman"/>
          <w:b/>
          <w:i w:val="false"/>
          <w:color w:val="000000"/>
          <w:sz w:val="22"/>
        </w:rPr>
        <w:t xml:space="preserve">(124E) </w:t>
      </w:r>
      <w:r>
        <w:rPr>
          <w:rFonts w:ascii="Times New Roman" w:hAnsi="Times New Roman"/>
          <w:b/>
          <w:i w:val="false"/>
          <w:color w:val="000000"/>
          <w:sz w:val="22"/>
        </w:rPr>
        <w:t xml:space="preserve">Transportation of medical cannabidiol and plant material. </w:t>
      </w:r>
    </w:p>
    <w:p>
      <w:pPr>
        <w:spacing w:before="0" w:after="0"/>
        <w:ind w:left="120"/>
        <w:jc w:val="both"/>
      </w:pPr>
      <w:r>
        <w:rPr>
          <w:rFonts w:ascii="Times New Roman" w:hAnsi="Times New Roman"/>
          <w:b/>
          <w:i w:val="false"/>
          <w:color w:val="000000"/>
          <w:sz w:val="22"/>
        </w:rPr>
        <w:t>154.31(1)</w:t>
      </w:r>
      <w:r>
        <w:rPr>
          <w:rFonts w:ascii="Times New Roman" w:hAnsi="Times New Roman"/>
          <w:b w:val="false"/>
          <w:i w:val="false"/>
          <w:color w:val="000000"/>
          <w:sz w:val="22"/>
        </w:rPr>
        <w:t> </w:t>
      </w:r>
      <w:r>
        <w:rPr>
          <w:rFonts w:ascii="Times New Roman" w:hAnsi="Times New Roman"/>
          <w:b w:val="false"/>
          <w:i/>
          <w:color w:val="000000"/>
          <w:sz w:val="22"/>
        </w:rPr>
        <w:t xml:space="preserve">Transport of medical cannabidiol or plant material. </w:t>
      </w:r>
      <w:r>
        <w:rPr>
          <w:rFonts w:ascii="Times New Roman" w:hAnsi="Times New Roman"/>
          <w:b w:val="false"/>
          <w:i w:val="false"/>
          <w:color w:val="000000"/>
          <w:sz w:val="22"/>
        </w:rPr>
        <w:t>A manufacturer is authorized to transport medical cannabidiol or plant material to and from: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Dispensaries;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laboratory for testing;</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waste facility for disposal;</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 manufacturer licensed by the department under Iowa Code chapter </w:t>
      </w:r>
      <w:hyperlink r:id="rId5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Other sites only with departmental approval.</w:t>
      </w:r>
    </w:p>
    <w:p>
      <w:pPr>
        <w:spacing w:before="0" w:after="0"/>
        <w:ind w:left="120"/>
        <w:jc w:val="both"/>
      </w:pPr>
      <w:r>
        <w:rPr>
          <w:rFonts w:ascii="Times New Roman" w:hAnsi="Times New Roman"/>
          <w:b/>
          <w:i w:val="false"/>
          <w:color w:val="000000"/>
          <w:sz w:val="22"/>
        </w:rPr>
        <w:t>154.31(2)</w:t>
      </w:r>
      <w:r>
        <w:rPr>
          <w:rFonts w:ascii="Times New Roman" w:hAnsi="Times New Roman"/>
          <w:b w:val="false"/>
          <w:i w:val="false"/>
          <w:color w:val="000000"/>
          <w:sz w:val="22"/>
        </w:rPr>
        <w:t> </w:t>
      </w:r>
      <w:r>
        <w:rPr>
          <w:rFonts w:ascii="Times New Roman" w:hAnsi="Times New Roman"/>
          <w:b w:val="false"/>
          <w:i/>
          <w:color w:val="000000"/>
          <w:sz w:val="22"/>
        </w:rPr>
        <w:t xml:space="preserve">Chain-of-custody tracking system.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shall use the secure sales and inventory tracking system, if available, or a department-approved manifest system to track shipping of medical cannabidiol. The system shall include a chain of custody that records: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name and address of the destination;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unique ID of each individual process lot or package lot that is part of the shipment, and the total number of individual packages;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date and time the medical cannabidiol shipment is placed into the transport vehicle;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date and time the shipment is accepted at the delivery destination;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The person’s identity;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Any handling or storage instructions.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Before transporting medical cannabidiol, a manufacturer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Record in the secure sales and inventory tracking system or on the manifest information the material to be transported;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Notify the dispensary, laboratory, manufacturer, or waste facility, as applicable, of the expected arrival time and transmit a copy of the manifest to the dispensary, laboratory, manufacturer, or waste facility, if applicable.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Each transport shall be approved electronically or in writing by: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An authorized manufacturer employee when the transport vehicle is departing the manufacturing facility;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An authorized employee of the receiving dispensary, laboratory, manufacturer, or waste facility.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An authorized employee at the dispensary, laboratory, manufacturer, or waste facility receiving medical cannabidiol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Verify and document the type and quantity of the transported medical cannabidiol against the information in the secure sales and inventory tracking system or written manifest;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Approve the transport electronically or return a signed copy of the manifest to the manufacturing facility;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Record the medical cannabidiol that is received as inventory in the secure sales and inventory tracking system, if available. If a manifest system is being used, the dispensary, laboratory, manufacturer, or waste facility shall also maintain a signed copy of the manifest and shall maintain records of the inventory received consistent with these rules.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manufacturer shall maintain all manifests for at least five years and make them available upon request of the department.</w:t>
      </w:r>
    </w:p>
    <w:p>
      <w:pPr>
        <w:spacing w:before="0" w:after="0"/>
        <w:ind w:left="120"/>
        <w:jc w:val="both"/>
      </w:pPr>
      <w:r>
        <w:rPr>
          <w:rFonts w:ascii="Times New Roman" w:hAnsi="Times New Roman"/>
          <w:b/>
          <w:i w:val="false"/>
          <w:color w:val="000000"/>
          <w:sz w:val="22"/>
        </w:rPr>
        <w:t>154.31(3)</w:t>
      </w:r>
      <w:r>
        <w:rPr>
          <w:rFonts w:ascii="Times New Roman" w:hAnsi="Times New Roman"/>
          <w:b w:val="false"/>
          <w:i w:val="false"/>
          <w:color w:val="000000"/>
          <w:sz w:val="22"/>
        </w:rPr>
        <w:t> </w:t>
      </w:r>
      <w:r>
        <w:rPr>
          <w:rFonts w:ascii="Times New Roman" w:hAnsi="Times New Roman"/>
          <w:b w:val="false"/>
          <w:i/>
          <w:color w:val="000000"/>
          <w:sz w:val="22"/>
        </w:rPr>
        <w:t xml:space="preserve">Vehicle requirements for transport.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shall ensure that all medical cannabidiol transported on public roadways is: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Packaged in tamper-evident, bulk containers;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Transported so it is not visible or recognizable from outside the vehicle;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Transported in a vehicle that does not bear any markings to indicate that the vehicle contains medical cannabidiol or bears the name or logo of the manufacturer.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When the motor vehicle contains medical cannabidiol, manufacturer employees who are transporting the medical cannabidiol on public roadways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Travel directly to a dispensary or other department-approved locations;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Document refueling and all other stops in transit,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reason for the stop;</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duration of the stop;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location of the stop.</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If the vehicle must be stopped due to an emergency situation, the employee shall notify 911 and complete an incident report on a form approved by the department.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Under no nonemergency circumstance shall any person other than a designated manufacturer employee have actual physical control of the motor vehicle that is transporting the medical cannabidiol.</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An employee in a transport motor vehicle shall have telephone access with the manufacturer’s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641—154.32</w:t>
      </w:r>
      <w:r>
        <w:rPr>
          <w:rFonts w:ascii="Times New Roman" w:hAnsi="Times New Roman"/>
          <w:b/>
          <w:i w:val="false"/>
          <w:color w:val="000000"/>
          <w:sz w:val="22"/>
        </w:rPr>
        <w:t xml:space="preserve">(124E) </w:t>
      </w:r>
      <w:r>
        <w:rPr>
          <w:rFonts w:ascii="Times New Roman" w:hAnsi="Times New Roman"/>
          <w:b/>
          <w:i w:val="false"/>
          <w:color w:val="000000"/>
          <w:sz w:val="22"/>
        </w:rPr>
        <w:t xml:space="preserve">Disposal of medical cannabidiol and plant material. </w:t>
      </w:r>
    </w:p>
    <w:p>
      <w:pPr>
        <w:spacing w:before="0" w:after="0"/>
        <w:ind w:left="120"/>
        <w:jc w:val="both"/>
      </w:pPr>
      <w:r>
        <w:rPr>
          <w:rFonts w:ascii="Times New Roman" w:hAnsi="Times New Roman"/>
          <w:b/>
          <w:i w:val="false"/>
          <w:color w:val="000000"/>
          <w:sz w:val="22"/>
        </w:rPr>
        <w:t>154.32(1)</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from dispensaries and laboratory. </w:t>
      </w:r>
      <w:r>
        <w:rPr>
          <w:rFonts w:ascii="Times New Roman" w:hAnsi="Times New Roman"/>
          <w:b w:val="false"/>
          <w:i w:val="false"/>
          <w:color w:val="000000"/>
          <w:sz w:val="22"/>
        </w:rPr>
        <w:t xml:space="preserve">A manufacturer may collect at no charge medical cannabidiol waste from dispensaries. A manufacturer that chooses to collect medical cannabidiol waste may use it for research and development or retained samples, but the manufacturer shall not introduce medical cannabidiol returned from a laboratory into lots of products intended for sale. Notwithstanding this provision, a manufacturer shall: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Dispose of medical cannabidiol waste;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Maintain a written record of disposal.</w:t>
      </w:r>
    </w:p>
    <w:p>
      <w:pPr>
        <w:spacing w:before="0" w:after="0"/>
        <w:ind w:left="120"/>
        <w:jc w:val="both"/>
      </w:pPr>
      <w:r>
        <w:rPr>
          <w:rFonts w:ascii="Times New Roman" w:hAnsi="Times New Roman"/>
          <w:b/>
          <w:i w:val="false"/>
          <w:color w:val="000000"/>
          <w:sz w:val="22"/>
        </w:rPr>
        <w:t>154.32(2)</w:t>
      </w: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and plant material waste. </w:t>
      </w:r>
      <w:r>
        <w:rPr>
          <w:rFonts w:ascii="Times New Roman" w:hAnsi="Times New Roman"/>
          <w:b w:val="false"/>
          <w:i w:val="false"/>
          <w:color w:val="000000"/>
          <w:sz w:val="22"/>
        </w:rPr>
        <w:t>A manufacturer shall store, secure, manage, and record medical cannabidiol waste and plant material waste in accordance with all applicable federal, state, and local regulations.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manufacturer shall dispose of medical cannabidiol waste and plant material waste at an approved facility.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Before transport of plant material waste, the manufacturer shall render the plant material waste unusable and unrecognizable.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manufacturer shall dispose of all liquid and chemical product waste generated in the process of cultivating, manufacturing, and distributing medical cannabidiol in accordance with applications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641—154.33</w:t>
      </w:r>
      <w:r>
        <w:rPr>
          <w:rFonts w:ascii="Times New Roman" w:hAnsi="Times New Roman"/>
          <w:b/>
          <w:i w:val="false"/>
          <w:color w:val="000000"/>
          <w:sz w:val="22"/>
        </w:rPr>
        <w:t xml:space="preserve">(124E) </w:t>
      </w:r>
      <w:r>
        <w:rPr>
          <w:rFonts w:ascii="Times New Roman" w:hAnsi="Times New Roman"/>
          <w:b/>
          <w:i w:val="false"/>
          <w:color w:val="000000"/>
          <w:sz w:val="22"/>
        </w:rPr>
        <w:t xml:space="preserve">Production requirements. </w:t>
      </w:r>
    </w:p>
    <w:p>
      <w:pPr>
        <w:spacing w:before="0" w:after="0"/>
        <w:ind w:left="120"/>
        <w:jc w:val="both"/>
      </w:pPr>
      <w:r>
        <w:rPr>
          <w:rFonts w:ascii="Times New Roman" w:hAnsi="Times New Roman"/>
          <w:b/>
          <w:i w:val="false"/>
          <w:color w:val="000000"/>
          <w:sz w:val="22"/>
        </w:rPr>
        <w:t>154.33(1)</w:t>
      </w:r>
      <w:r>
        <w:rPr>
          <w:rFonts w:ascii="Times New Roman" w:hAnsi="Times New Roman"/>
          <w:b w:val="false"/>
          <w:i w:val="false"/>
          <w:color w:val="000000"/>
          <w:sz w:val="22"/>
        </w:rPr>
        <w:t> </w:t>
      </w:r>
      <w:r>
        <w:rPr>
          <w:rFonts w:ascii="Times New Roman" w:hAnsi="Times New Roman"/>
          <w:b w:val="false"/>
          <w:i/>
          <w:color w:val="000000"/>
          <w:sz w:val="22"/>
        </w:rPr>
        <w:t xml:space="preserve">Cultivation and processing.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All phases of production shall take place in designated, restricted access areas in accordance with rule </w:t>
      </w:r>
      <w:hyperlink r:id="rId59">
        <w:r>
          <w:rPr>
            <w:rStyle w:val="Hyperlink"/>
            <w:rFonts w:ascii="Times New Roman" w:hAnsi="Times New Roman"/>
            <w:b w:val="false"/>
            <w:i w:val="false"/>
            <w:color w:val="000000"/>
            <w:sz w:val="22"/>
          </w:rPr>
          <w:t>641—154.21</w:t>
        </w:r>
      </w:hyperlink>
      <w:r>
        <w:rPr>
          <w:rFonts w:ascii="Times New Roman" w:hAnsi="Times New Roman"/>
          <w:b w:val="false"/>
          <w:i w:val="false"/>
          <w:color w:val="000000"/>
          <w:sz w:val="22"/>
        </w:rPr>
        <w:t>(124E).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The production process shall be designed to limit contamination.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Each production area shall allow for access, observation, and inventory of each plant group.</w:t>
      </w:r>
    </w:p>
    <w:p>
      <w:pPr>
        <w:spacing w:before="0" w:after="0"/>
        <w:ind w:left="120"/>
        <w:jc w:val="both"/>
      </w:pPr>
      <w:r>
        <w:rPr>
          <w:rFonts w:ascii="Times New Roman" w:hAnsi="Times New Roman"/>
          <w:b/>
          <w:i w:val="false"/>
          <w:color w:val="000000"/>
          <w:sz w:val="22"/>
        </w:rPr>
        <w:t>154.33(2)</w:t>
      </w:r>
      <w:r>
        <w:rPr>
          <w:rFonts w:ascii="Times New Roman" w:hAnsi="Times New Roman"/>
          <w:b w:val="false"/>
          <w:i w:val="false"/>
          <w:color w:val="000000"/>
          <w:sz w:val="22"/>
        </w:rPr>
        <w:t> </w:t>
      </w:r>
      <w:r>
        <w:rPr>
          <w:rFonts w:ascii="Times New Roman" w:hAnsi="Times New Roman"/>
          <w:b w:val="false"/>
          <w:i/>
          <w:color w:val="000000"/>
          <w:sz w:val="22"/>
        </w:rPr>
        <w:t xml:space="preserve">Crop inputs and plant batches.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manufacturer shall use the secure sales and inventory tracking system to maintain an electronic record of all crop inputs. The record shall include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date of input application;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name of the employee applying the crop input;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crop input that was applied;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plants that received the application;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 copy of or electronic link to the safety data sheet for the crop input applied.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At the time of harvesting, all plants shall be tracked in a batch process with a unique batch number that shall remain with the batch through final processing into medical cannabidiol.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Each batch or part of a batch of cannabis plants that contributes to a lot of medical cannabidiol shall be recorded in the secure sales and inventory tracking system or other manifest system.</w:t>
      </w:r>
    </w:p>
    <w:p>
      <w:pPr>
        <w:spacing w:before="0" w:after="0"/>
        <w:ind w:left="120"/>
        <w:jc w:val="both"/>
      </w:pPr>
      <w:r>
        <w:rPr>
          <w:rFonts w:ascii="Times New Roman" w:hAnsi="Times New Roman"/>
          <w:b/>
          <w:i w:val="false"/>
          <w:color w:val="000000"/>
          <w:sz w:val="22"/>
        </w:rPr>
        <w:t>154.33(3)</w:t>
      </w:r>
      <w:r>
        <w:rPr>
          <w:rFonts w:ascii="Times New Roman" w:hAnsi="Times New Roman"/>
          <w:b w:val="false"/>
          <w:i w:val="false"/>
          <w:color w:val="000000"/>
          <w:sz w:val="22"/>
        </w:rPr>
        <w:t> </w:t>
      </w:r>
      <w:r>
        <w:rPr>
          <w:rFonts w:ascii="Times New Roman" w:hAnsi="Times New Roman"/>
          <w:b w:val="false"/>
          <w:i/>
          <w:color w:val="000000"/>
          <w:sz w:val="22"/>
        </w:rPr>
        <w:t xml:space="preserve">Production of medical cannabidiol.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 manufacturer shall obtain approval from the department for use of any hydrocarbon-based extraction process.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Medical cannabidiol shall be prepared, handled, and stored in compliance with the sanitation requirements in this rule.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manufacturer shall produce shelf-stable, nonperishable forms of medical cannabidiol.</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manufacturer shall ensure that the cannabinoid content of the medical cannabidiol it produces is homogenous.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Each lot of medical cannabidiol shall be assigned a unique lot number and recorded in the secure sales and inventory tracking system or other manifest system.</w:t>
      </w:r>
    </w:p>
    <w:p>
      <w:pPr>
        <w:spacing w:before="0" w:after="0"/>
        <w:ind w:left="120"/>
        <w:jc w:val="both"/>
      </w:pPr>
      <w:r>
        <w:rPr>
          <w:rFonts w:ascii="Times New Roman" w:hAnsi="Times New Roman"/>
          <w:b/>
          <w:i w:val="false"/>
          <w:color w:val="000000"/>
          <w:sz w:val="22"/>
        </w:rPr>
        <w:t>154.33(4)</w:t>
      </w:r>
      <w:r>
        <w:rPr>
          <w:rFonts w:ascii="Times New Roman" w:hAnsi="Times New Roman"/>
          <w:b w:val="false"/>
          <w:i w:val="false"/>
          <w:color w:val="000000"/>
          <w:sz w:val="22"/>
        </w:rPr>
        <w:t> </w:t>
      </w:r>
      <w:r>
        <w:rPr>
          <w:rFonts w:ascii="Times New Roman" w:hAnsi="Times New Roman"/>
          <w:b w:val="false"/>
          <w:i/>
          <w:color w:val="000000"/>
          <w:sz w:val="22"/>
        </w:rPr>
        <w:t xml:space="preserve">General sanitation requirements. </w:t>
      </w:r>
      <w:r>
        <w:rPr>
          <w:rFonts w:ascii="Times New Roman" w:hAnsi="Times New Roman"/>
          <w:b w:val="false"/>
          <w:i w:val="false"/>
          <w:color w:val="000000"/>
          <w:sz w:val="22"/>
        </w:rPr>
        <w:t>A manufacturer shall take all reasonable measures and precautions to ensure that: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Any employee who has a communicable disease does not perform any tasks that might contaminate plant material or medical cannabidiol;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Hand-washing facilities are: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Convenient and furnished with running water at a suitable temperature;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Located in all production areas;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Equipped with effective hand-cleaning and -sanitizing preparations and sanitary towel service or electronic drying devices;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All employees working in direct contact with plant material and medical cannabidiol use hygienic practices while on duty,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Maintaining personal cleanliness;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Washing hands thoroughly in a hand-washing area before starting work and at any other time when the hands may have become soiled or contaminated;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Litter and waste are routinely removed and the operating systems for waste disposal are routinely inspected;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Floors, walls, and ceilings are constructed with a surface that can be easily cleaned and maintained in good repair to inhibit microbial growth;</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Lighting is adequate in all areas where plant material and medical cannabidiol are processed, stored, or sold;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Screening or other protection against the entry of pests is provided, including that rubbish is disposed of to minimize the development of odor and the potential for the waste becoming an attractant, harborage, or breeding place for pests;</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Any buildings, fixtures, and other facilities are maintained in a sanitary condition;</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Toxic cleaning compounds, sanitizing agents, and other potentially harmful chemicals are identified and stored in a separate location away from plant material and medical cannabidiol and in accordance with applicable local, state, or federal law;</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All contact surfaces, utensils, and equipment used in the production of plant material and medical cannabidiol are maintained in a clean and sanitary condition;</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The manufacturing facility water supply is sufficient for necessary operations;</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Employees have accessible toilet facilities that are sanitary and in good repair; and</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Plant material and medical cannabidiol that could support the rapid growth of undesirable microorganisms are isolated to prevent the growth of those microorganisms.</w:t>
      </w:r>
    </w:p>
    <w:p>
      <w:pPr>
        <w:spacing w:before="0" w:after="0"/>
        <w:ind w:left="120"/>
        <w:jc w:val="both"/>
      </w:pPr>
      <w:r>
        <w:rPr>
          <w:rFonts w:ascii="Times New Roman" w:hAnsi="Times New Roman"/>
          <w:b/>
          <w:i w:val="false"/>
          <w:color w:val="000000"/>
          <w:sz w:val="22"/>
        </w:rPr>
        <w:t>154.33(5)</w:t>
      </w:r>
      <w:r>
        <w:rPr>
          <w:rFonts w:ascii="Times New Roman" w:hAnsi="Times New Roman"/>
          <w:b w:val="false"/>
          <w:i w:val="false"/>
          <w:color w:val="000000"/>
          <w:sz w:val="22"/>
        </w:rPr>
        <w:t> </w:t>
      </w:r>
      <w:r>
        <w:rPr>
          <w:rFonts w:ascii="Times New Roman" w:hAnsi="Times New Roman"/>
          <w:b w:val="false"/>
          <w:i/>
          <w:color w:val="000000"/>
          <w:sz w:val="22"/>
        </w:rPr>
        <w:t xml:space="preserve">Storage.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manufacturer shall store plant material and medical cannabidiol during production, transport, and testing, ensuring that: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Plant material and medical cannabidiol are returned to a secure location immediately after completion;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tanks, vessels, bins, or bulk containers containing plant material or medical cannabidiol are locked inside a secure area.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manufacturer shall store all plant material and medical cannabidiol during production, transport, and testing, and all saleable medical cannabidiol: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 areas that are maintained in a clean, orderly, and well-ventilated condition;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 storage areas that are free from infestation by insects, rodents, birds, and other pests of any kind.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To prevent degradation, at all times, a manufacturer shall store all plant material and medical cannabidiol under conditions that will protect the product and its container against physical, chemical, and microbial contamination and deterioration.</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manufacturer shall maintain a separate secure storage area for medical cannabidiol that is returned from a dispensary.</w:t>
      </w:r>
    </w:p>
    <w:p>
      <w:pPr>
        <w:spacing w:before="0" w:after="0"/>
        <w:ind w:left="120"/>
        <w:jc w:val="both"/>
      </w:pPr>
      <w:r>
        <w:rPr>
          <w:rFonts w:ascii="Times New Roman" w:hAnsi="Times New Roman"/>
          <w:b/>
          <w:i w:val="false"/>
          <w:color w:val="000000"/>
          <w:sz w:val="22"/>
        </w:rPr>
        <w:t>154.33(6)</w:t>
      </w:r>
      <w:r>
        <w:rPr>
          <w:rFonts w:ascii="Times New Roman" w:hAnsi="Times New Roman"/>
          <w:b w:val="false"/>
          <w:i w:val="false"/>
          <w:color w:val="000000"/>
          <w:sz w:val="22"/>
        </w:rPr>
        <w:t> </w:t>
      </w:r>
      <w:r>
        <w:rPr>
          <w:rFonts w:ascii="Times New Roman" w:hAnsi="Times New Roman"/>
          <w:b w:val="false"/>
          <w:i/>
          <w:color w:val="000000"/>
          <w:sz w:val="22"/>
        </w:rPr>
        <w:t xml:space="preserve">Scales. </w:t>
      </w:r>
      <w:r>
        <w:rPr>
          <w:rFonts w:ascii="Times New Roman" w:hAnsi="Times New Roman"/>
          <w:b w:val="false"/>
          <w:i w:val="false"/>
          <w:color w:val="000000"/>
          <w:sz w:val="22"/>
        </w:rPr>
        <w:t>All scales used to weigh usable plant material for purposes of these rules shall be certified in accordance with ISO/IEC 17025 dated 2017, which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641—154.34</w:t>
      </w:r>
      <w:r>
        <w:rPr>
          <w:rFonts w:ascii="Times New Roman" w:hAnsi="Times New Roman"/>
          <w:b/>
          <w:i w:val="false"/>
          <w:color w:val="000000"/>
          <w:sz w:val="22"/>
        </w:rPr>
        <w:t xml:space="preserve">(124E) </w:t>
      </w:r>
      <w:r>
        <w:rPr>
          <w:rFonts w:ascii="Times New Roman" w:hAnsi="Times New Roman"/>
          <w:b/>
          <w:i w:val="false"/>
          <w:color w:val="000000"/>
          <w:sz w:val="22"/>
        </w:rPr>
        <w:t xml:space="preserve">Supply and inventory. </w:t>
      </w:r>
    </w:p>
    <w:p>
      <w:pPr>
        <w:spacing w:before="0" w:after="0"/>
        <w:ind w:left="120"/>
        <w:jc w:val="both"/>
      </w:pPr>
      <w:r>
        <w:rPr>
          <w:rFonts w:ascii="Times New Roman" w:hAnsi="Times New Roman"/>
          <w:b/>
          <w:i w:val="false"/>
          <w:color w:val="000000"/>
          <w:sz w:val="22"/>
        </w:rPr>
        <w:t>154.34(1)</w:t>
      </w:r>
      <w:r>
        <w:rPr>
          <w:rFonts w:ascii="Times New Roman" w:hAnsi="Times New Roman"/>
          <w:b w:val="false"/>
          <w:i w:val="false"/>
          <w:color w:val="000000"/>
          <w:sz w:val="22"/>
        </w:rPr>
        <w:t> </w:t>
      </w:r>
      <w:r>
        <w:rPr>
          <w:rFonts w:ascii="Times New Roman" w:hAnsi="Times New Roman"/>
          <w:b w:val="false"/>
          <w:i/>
          <w:color w:val="000000"/>
          <w:sz w:val="22"/>
        </w:rPr>
        <w:t xml:space="preserve">Reliable and ongoing supply. </w:t>
      </w:r>
      <w:r>
        <w:rPr>
          <w:rFonts w:ascii="Times New Roman" w:hAnsi="Times New Roman"/>
          <w:b w:val="false"/>
          <w:i w:val="false"/>
          <w:color w:val="000000"/>
          <w:sz w:val="22"/>
        </w:rPr>
        <w:t>A manufacturer shall provide a reliable and ongoing supply of medical cannabidiol to medical cannabidiol dispensaries.</w:t>
      </w:r>
    </w:p>
    <w:p>
      <w:pPr>
        <w:spacing w:before="0" w:after="0"/>
        <w:ind w:left="120"/>
        <w:jc w:val="both"/>
      </w:pPr>
      <w:r>
        <w:rPr>
          <w:rFonts w:ascii="Times New Roman" w:hAnsi="Times New Roman"/>
          <w:b/>
          <w:i w:val="false"/>
          <w:color w:val="000000"/>
          <w:sz w:val="22"/>
        </w:rPr>
        <w:t>154.34(2)</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controls and procedures. </w:t>
      </w:r>
      <w:r>
        <w:rPr>
          <w:rFonts w:ascii="Times New Roman" w:hAnsi="Times New Roman"/>
          <w:b w:val="false"/>
          <w:i w:val="false"/>
          <w:color w:val="000000"/>
          <w:sz w:val="22"/>
        </w:rPr>
        <w:t>A manufacturer shall establish inventory controls and procedures for conducting inventory reviews to prevent and detect any diversion, theft, or loss in a timely manner.</w:t>
      </w:r>
    </w:p>
    <w:p>
      <w:pPr>
        <w:spacing w:before="0" w:after="0"/>
        <w:ind w:left="120"/>
        <w:jc w:val="both"/>
      </w:pPr>
      <w:r>
        <w:rPr>
          <w:rFonts w:ascii="Times New Roman" w:hAnsi="Times New Roman"/>
          <w:b/>
          <w:i w:val="false"/>
          <w:color w:val="000000"/>
          <w:sz w:val="22"/>
        </w:rPr>
        <w:t>154.34(3)</w:t>
      </w:r>
      <w:r>
        <w:rPr>
          <w:rFonts w:ascii="Times New Roman" w:hAnsi="Times New Roman"/>
          <w:b w:val="false"/>
          <w:i w:val="false"/>
          <w:color w:val="000000"/>
          <w:sz w:val="22"/>
        </w:rPr>
        <w:t> </w:t>
      </w:r>
      <w:r>
        <w:rPr>
          <w:rFonts w:ascii="Times New Roman" w:hAnsi="Times New Roman"/>
          <w:b w:val="false"/>
          <w:i/>
          <w:color w:val="000000"/>
          <w:sz w:val="22"/>
        </w:rPr>
        <w:t xml:space="preserve">Inventory tracking required. </w:t>
      </w:r>
      <w:r>
        <w:rPr>
          <w:rFonts w:ascii="Times New Roman" w:hAnsi="Times New Roman"/>
          <w:b w:val="false"/>
          <w:i w:val="false"/>
          <w:color w:val="000000"/>
          <w:sz w:val="22"/>
        </w:rPr>
        <w:t>A manufacturer shall use the secure sales and inventory tracking system to track medical cannabidiol production from seed or plant cutting through distribution of medical cannabidiol to a dispensary.</w:t>
      </w:r>
    </w:p>
    <w:p>
      <w:pPr>
        <w:spacing w:before="0" w:after="0"/>
        <w:ind w:left="120"/>
        <w:jc w:val="both"/>
      </w:pPr>
      <w:r>
        <w:rPr>
          <w:rFonts w:ascii="Times New Roman" w:hAnsi="Times New Roman"/>
          <w:b/>
          <w:i w:val="false"/>
          <w:color w:val="000000"/>
          <w:sz w:val="22"/>
        </w:rPr>
        <w:t>154.34(4)</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No less often than every two calendar weeks, a manufacturer shall reconcile its physical inventory with the inventory recorded in the secure sales and inventory tracking system.</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Reconciliation shall include: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Plant material at the manufacturing facility and in transit;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Medical cannabidiol at the manufacturing facility.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Discrepancies between the physical inventory of the manufacturer and the inventory recorded in the secure sales and inventory system shall be handled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manufacturer shall report suspected diversion of medical cannabidiol to the department within 72 hours of discovery.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manufacturer shall have up to 72 hours to reconcile discrepancies in the manufacturer’s physical inventory with the inventory recorded in the secure sales and inventory tracking.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DISPENSING</w:t>
      </w:r>
    </w:p>
    <w:p>
      <w:pPr>
        <w:spacing w:before="0" w:after="0"/>
        <w:ind w:left="120"/>
        <w:jc w:val="both"/>
      </w:pPr>
      <w:r>
        <w:rPr>
          <w:rFonts w:ascii="Times New Roman" w:hAnsi="Times New Roman"/>
          <w:b/>
          <w:i w:val="false"/>
          <w:color w:val="000000"/>
          <w:sz w:val="22"/>
        </w:rPr>
        <w:t>641—154.35</w:t>
      </w:r>
      <w:r>
        <w:rPr>
          <w:rFonts w:ascii="Times New Roman" w:hAnsi="Times New Roman"/>
          <w:b/>
          <w:i w:val="false"/>
          <w:color w:val="000000"/>
          <w:sz w:val="22"/>
        </w:rPr>
        <w:t xml:space="preserve">(124E) </w:t>
      </w:r>
      <w:r>
        <w:rPr>
          <w:rFonts w:ascii="Times New Roman" w:hAnsi="Times New Roman"/>
          <w:b/>
          <w:i w:val="false"/>
          <w:color w:val="000000"/>
          <w:sz w:val="22"/>
        </w:rPr>
        <w:t xml:space="preserve">Duties of the department. </w:t>
      </w:r>
    </w:p>
    <w:p>
      <w:pPr>
        <w:spacing w:before="0" w:after="0"/>
        <w:ind w:left="120"/>
        <w:jc w:val="both"/>
      </w:pPr>
      <w:r>
        <w:rPr>
          <w:rFonts w:ascii="Times New Roman" w:hAnsi="Times New Roman"/>
          <w:b/>
          <w:i w:val="false"/>
          <w:color w:val="000000"/>
          <w:sz w:val="22"/>
        </w:rPr>
        <w:t>154.35(1)</w:t>
      </w:r>
      <w:r>
        <w:rPr>
          <w:rFonts w:ascii="Times New Roman" w:hAnsi="Times New Roman"/>
          <w:b w:val="false"/>
          <w:i w:val="false"/>
          <w:color w:val="000000"/>
          <w:sz w:val="22"/>
        </w:rPr>
        <w:t> </w:t>
      </w:r>
      <w:r>
        <w:rPr>
          <w:rFonts w:ascii="Times New Roman" w:hAnsi="Times New Roman"/>
          <w:b w:val="false"/>
          <w:i/>
          <w:color w:val="000000"/>
          <w:sz w:val="22"/>
        </w:rPr>
        <w:t xml:space="preserve">Inspection of dispensaries. </w:t>
      </w:r>
      <w:r>
        <w:rPr>
          <w:rFonts w:ascii="Times New Roman" w:hAnsi="Times New Roman"/>
          <w:b w:val="false"/>
          <w:i w:val="false"/>
          <w:color w:val="000000"/>
          <w:sz w:val="22"/>
        </w:rPr>
        <w:t>The department or its agents shall conduct regular inspections of dispensaries and their facilities.</w:t>
      </w:r>
    </w:p>
    <w:p>
      <w:pPr>
        <w:spacing w:before="0" w:after="0"/>
        <w:ind w:left="120"/>
        <w:jc w:val="both"/>
      </w:pPr>
      <w:r>
        <w:rPr>
          <w:rFonts w:ascii="Times New Roman" w:hAnsi="Times New Roman"/>
          <w:b/>
          <w:i w:val="false"/>
          <w:color w:val="000000"/>
          <w:sz w:val="22"/>
        </w:rPr>
        <w:t>154.35(2)</w:t>
      </w:r>
      <w:r>
        <w:rPr>
          <w:rFonts w:ascii="Times New Roman" w:hAnsi="Times New Roman"/>
          <w:b w:val="false"/>
          <w:i w:val="false"/>
          <w:color w:val="000000"/>
          <w:sz w:val="22"/>
        </w:rPr>
        <w:t> </w:t>
      </w:r>
      <w:r>
        <w:rPr>
          <w:rFonts w:ascii="Times New Roman" w:hAnsi="Times New Roman"/>
          <w:b w:val="false"/>
          <w:i/>
          <w:color w:val="000000"/>
          <w:sz w:val="22"/>
        </w:rPr>
        <w:t xml:space="preserve">Establishment and maintenance of a secure sales and inventory tracking system. </w:t>
      </w:r>
      <w:r>
        <w:rPr>
          <w:rFonts w:ascii="Times New Roman" w:hAnsi="Times New Roman"/>
          <w:b w:val="false"/>
          <w:i w:val="false"/>
          <w:color w:val="000000"/>
          <w:sz w:val="22"/>
        </w:rPr>
        <w:t>The department shall establish and maintain a secure, electronic system that is available 24 hours per day, seven days per week to track:</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Inventory of medical cannabidiol and waste material;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Sales of medical cannabidiol from dispensaries to patients and primary caregivers;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Total tetrahydrocannabinol purchased in the last 90 days by a patient and the patient’s primary caregiver.</w:t>
      </w:r>
    </w:p>
    <w:p>
      <w:pPr>
        <w:spacing w:before="0" w:after="0"/>
        <w:ind w:left="120"/>
        <w:jc w:val="both"/>
      </w:pPr>
      <w:r>
        <w:rPr>
          <w:rFonts w:ascii="Times New Roman" w:hAnsi="Times New Roman"/>
          <w:b/>
          <w:i w:val="false"/>
          <w:color w:val="000000"/>
          <w:sz w:val="22"/>
        </w:rPr>
        <w:t>154.35(3)</w:t>
      </w:r>
      <w:r>
        <w:rPr>
          <w:rFonts w:ascii="Times New Roman" w:hAnsi="Times New Roman"/>
          <w:b w:val="false"/>
          <w:i w:val="false"/>
          <w:color w:val="000000"/>
          <w:sz w:val="22"/>
        </w:rPr>
        <w:t> </w:t>
      </w:r>
      <w:r>
        <w:rPr>
          <w:rFonts w:ascii="Times New Roman" w:hAnsi="Times New Roman"/>
          <w:b w:val="false"/>
          <w:i/>
          <w:color w:val="000000"/>
          <w:sz w:val="22"/>
        </w:rPr>
        <w:t xml:space="preserve">Recall of medical cannabidiol products. </w:t>
      </w:r>
      <w:r>
        <w:rPr>
          <w:rFonts w:ascii="Times New Roman" w:hAnsi="Times New Roman"/>
          <w:b w:val="false"/>
          <w:i w:val="false"/>
          <w:color w:val="000000"/>
          <w:sz w:val="22"/>
        </w:rPr>
        <w:t>If the department determines, based on an evaluation of the health hazard presented, that there is a reasonable probability that use of, or exposure to, a violative medical cannabidiol product will cause a serious adverse health consequence or death, the department may require a dispensary to recall such violative medical cannabidiol products from the dispensary facility and from patients. An evaluation of the health hazard presented by medical cannabidiol being considered for recall shall be conducted by an ad hoc committee of scientists appointed by the director of the department and shall consider, but need not be limited to, each of the following factors: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Whether any disease or injuries have already occurred from the product.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Whether any existing conditions could contribute to a clinical situation that could expose humans to a health hazard. Any conclusion shall be supported as completely as possible by scientific documentation, statements, or both that the conclusion is the opinion of the individual(s) making the health hazard determination.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holistic assessment of the hazard and its present and future potential consequences.</w:t>
      </w:r>
    </w:p>
    <w:p>
      <w:pPr>
        <w:spacing w:before="0" w:after="0"/>
        <w:ind w:left="120"/>
        <w:jc w:val="both"/>
      </w:pPr>
      <w:r>
        <w:rPr>
          <w:rFonts w:ascii="Times New Roman" w:hAnsi="Times New Roman"/>
          <w:b/>
          <w:i w:val="false"/>
          <w:color w:val="000000"/>
          <w:sz w:val="22"/>
        </w:rPr>
        <w:t>154.35(4)</w:t>
      </w:r>
      <w:r>
        <w:rPr>
          <w:rFonts w:ascii="Times New Roman" w:hAnsi="Times New Roman"/>
          <w:b w:val="false"/>
          <w:i w:val="false"/>
          <w:color w:val="000000"/>
          <w:sz w:val="22"/>
        </w:rPr>
        <w:t> </w:t>
      </w:r>
      <w:r>
        <w:rPr>
          <w:rFonts w:ascii="Times New Roman" w:hAnsi="Times New Roman"/>
          <w:b w:val="false"/>
          <w:i/>
          <w:color w:val="000000"/>
          <w:sz w:val="22"/>
        </w:rPr>
        <w:t xml:space="preserve">Permissible disclosure. </w:t>
      </w:r>
      <w:r>
        <w:rPr>
          <w:rFonts w:ascii="Times New Roman" w:hAnsi="Times New Roman"/>
          <w:b w:val="false"/>
          <w:i w:val="false"/>
          <w:color w:val="000000"/>
          <w:sz w:val="22"/>
        </w:rPr>
        <w:t>The department may disclose patient-specific dispensing data to the certifying provider upon written request by the patient, caregiver, or certifying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641—154.36</w:t>
      </w:r>
      <w:r>
        <w:rPr>
          <w:rFonts w:ascii="Times New Roman" w:hAnsi="Times New Roman"/>
          <w:b/>
          <w:i w:val="false"/>
          <w:color w:val="000000"/>
          <w:sz w:val="22"/>
        </w:rPr>
        <w:t xml:space="preserve">(124E) </w:t>
      </w:r>
      <w:r>
        <w:rPr>
          <w:rFonts w:ascii="Times New Roman" w:hAnsi="Times New Roman"/>
          <w:b/>
          <w:i w:val="false"/>
          <w:color w:val="000000"/>
          <w:sz w:val="22"/>
        </w:rPr>
        <w:t xml:space="preserve">Dispensary operations. </w:t>
      </w:r>
    </w:p>
    <w:p>
      <w:pPr>
        <w:spacing w:before="0" w:after="0"/>
        <w:ind w:left="120"/>
        <w:jc w:val="both"/>
      </w:pPr>
      <w:r>
        <w:rPr>
          <w:rFonts w:ascii="Times New Roman" w:hAnsi="Times New Roman"/>
          <w:b/>
          <w:i w:val="false"/>
          <w:color w:val="000000"/>
          <w:sz w:val="22"/>
        </w:rPr>
        <w:t>154.36(1)</w:t>
      </w:r>
      <w:r>
        <w:rPr>
          <w:rFonts w:ascii="Times New Roman" w:hAnsi="Times New Roman"/>
          <w:b w:val="false"/>
          <w:i w:val="false"/>
          <w:color w:val="000000"/>
          <w:sz w:val="22"/>
        </w:rPr>
        <w:t> </w:t>
      </w:r>
      <w:r>
        <w:rPr>
          <w:rFonts w:ascii="Times New Roman" w:hAnsi="Times New Roman"/>
          <w:b w:val="false"/>
          <w:i/>
          <w:color w:val="000000"/>
          <w:sz w:val="22"/>
        </w:rPr>
        <w:t xml:space="preserve">Operating documents.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dispensary shall maintain operating documents that accurately reflect the dispensary’s standard operating procedures. Unless otherwise noted, a dispensary shall make the operating documents available to the department upon request, through secure means.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operating documents of a dispensary shall include all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Procedures for the oversight of the dispensary, including descriptions of operational and management practices regarding: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forms and quantities of medical cannabidiol products that will be stored and dispensed at the dispensary;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estimated forms and quantities of medical cannabidiol waste to be generated or collected;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disposal methods for all waste materials;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Employee training methods for the dispensary employees;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Strategies for identifying and reconciling discrepancies in inventory of medical cannabidiol;</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Procedures to ensure the dispensary does not dispense more than a patient’s certified limit of total tetrahydrocannabinol to a patient and the patient’s primary caregiver(s) in a 90-day period;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Medical cannabidiol labeling procedures;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Procedures for recall of medical cannabidiol;</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Plans for responding to a security breach at the dispensary facility;</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A business continuity plan; and</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Other information requested by the department.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Procedures to ensure accurate recordkeeping.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Procedures for the implementation of appropriate security measures to deter and prevent the theft of medical cannabidiol and unauthorized entrance into areas of the dispensary facility containing medical cannabidiol.</w:t>
      </w:r>
    </w:p>
    <w:p>
      <w:pPr>
        <w:spacing w:before="0" w:after="0"/>
        <w:ind w:left="120"/>
        <w:jc w:val="both"/>
      </w:pPr>
      <w:r>
        <w:rPr>
          <w:rFonts w:ascii="Times New Roman" w:hAnsi="Times New Roman"/>
          <w:b/>
          <w:i w:val="false"/>
          <w:color w:val="000000"/>
          <w:sz w:val="22"/>
        </w:rPr>
        <w:t>154.36(2)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 xml:space="preserve">In addition to following all provisions of Iowa Code section </w:t>
      </w:r>
      <w:hyperlink r:id="rId60">
        <w:r>
          <w:rPr>
            <w:rStyle w:val="Hyperlink"/>
            <w:rFonts w:ascii="Times New Roman" w:hAnsi="Times New Roman"/>
            <w:b w:val="false"/>
            <w:i w:val="false"/>
            <w:color w:val="000000"/>
            <w:sz w:val="22"/>
          </w:rPr>
          <w:t>124E.7</w:t>
        </w:r>
      </w:hyperlink>
      <w:r>
        <w:rPr>
          <w:rFonts w:ascii="Times New Roman" w:hAnsi="Times New Roman"/>
          <w:b w:val="false"/>
          <w:i w:val="false"/>
          <w:color w:val="000000"/>
          <w:sz w:val="22"/>
        </w:rPr>
        <w:t>, a dispensary shall not: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Dispense medical cannabidiol in any location except in those areas approved by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Sell, receive, transport, or distribute medical cannabidiol from any location except its dispensary;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Sell, receive, or distribute medical cannabidiol from any entity other than a manufacturer licensed by the department;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Sell or distribute medical cannabidiol to any person other than an approved patient or primary caregiver;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Transport or deliver medical cannabidiol to any location, unless approved by the department;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Sell medical cannabidiol that is not packaged and labeled in accordance with rules;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Repackage medical cannabidiol or remove the manufacturer’s label.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641—154.37</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i w:val="false"/>
          <w:color w:val="000000"/>
          <w:sz w:val="22"/>
        </w:rPr>
        <w:t>154.37(1)</w:t>
      </w:r>
      <w:r>
        <w:rPr>
          <w:rFonts w:ascii="Times New Roman" w:hAnsi="Times New Roman"/>
          <w:b w:val="false"/>
          <w:i w:val="false"/>
          <w:color w:val="000000"/>
          <w:sz w:val="22"/>
        </w:rPr>
        <w:t> </w:t>
      </w:r>
      <w:r>
        <w:rPr>
          <w:rFonts w:ascii="Times New Roman" w:hAnsi="Times New Roman"/>
          <w:b w:val="false"/>
          <w:i/>
          <w:color w:val="000000"/>
          <w:sz w:val="22"/>
        </w:rPr>
        <w:t xml:space="preserve">Dispensary sales. </w:t>
      </w:r>
      <w:r>
        <w:rPr>
          <w:rFonts w:ascii="Times New Roman" w:hAnsi="Times New Roman"/>
          <w:b w:val="false"/>
          <w:i w:val="false"/>
          <w:color w:val="000000"/>
          <w:sz w:val="22"/>
        </w:rPr>
        <w:t>Within one business day of sale, a dispensary shall record complete and accurate electronic sales transaction records in the secure sales and inventory tracking system, including: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of the patient and, if purchase is made by the primary caregiver, the name of the primary caregiver;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date and time of each sale;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item number, product name and description, and quantity of medical cannabidiol sold;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sale price;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Other information required by the department.</w:t>
      </w:r>
    </w:p>
    <w:p>
      <w:pPr>
        <w:spacing w:before="0" w:after="0"/>
        <w:ind w:left="120"/>
        <w:jc w:val="both"/>
      </w:pPr>
      <w:r>
        <w:rPr>
          <w:rFonts w:ascii="Times New Roman" w:hAnsi="Times New Roman"/>
          <w:b/>
          <w:i w:val="false"/>
          <w:color w:val="000000"/>
          <w:sz w:val="22"/>
        </w:rPr>
        <w:t>154.37(2)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641—154.38</w:t>
      </w:r>
      <w:r>
        <w:rPr>
          <w:rFonts w:ascii="Times New Roman" w:hAnsi="Times New Roman"/>
          <w:b/>
          <w:i w:val="false"/>
          <w:color w:val="000000"/>
          <w:sz w:val="22"/>
        </w:rPr>
        <w:t xml:space="preserve">(124E) </w:t>
      </w:r>
      <w:r>
        <w:rPr>
          <w:rFonts w:ascii="Times New Roman" w:hAnsi="Times New Roman"/>
          <w:b/>
          <w:i w:val="false"/>
          <w:color w:val="000000"/>
          <w:sz w:val="22"/>
        </w:rPr>
        <w:t xml:space="preserve">Storage. </w:t>
      </w:r>
    </w:p>
    <w:p>
      <w:pPr>
        <w:spacing w:before="0" w:after="0"/>
        <w:ind w:left="120"/>
        <w:jc w:val="both"/>
      </w:pPr>
      <w:r>
        <w:rPr>
          <w:rFonts w:ascii="Times New Roman" w:hAnsi="Times New Roman"/>
          <w:b/>
          <w:i w:val="false"/>
          <w:color w:val="000000"/>
          <w:sz w:val="22"/>
        </w:rPr>
        <w:t>154.38(1)</w:t>
      </w:r>
      <w:r>
        <w:rPr>
          <w:rFonts w:ascii="Times New Roman" w:hAnsi="Times New Roman"/>
          <w:b w:val="false"/>
          <w:i w:val="false"/>
          <w:color w:val="000000"/>
          <w:sz w:val="22"/>
        </w:rPr>
        <w:t> </w:t>
      </w:r>
      <w:r>
        <w:rPr>
          <w:rFonts w:ascii="Times New Roman" w:hAnsi="Times New Roman"/>
          <w:b w:val="false"/>
          <w:i/>
          <w:color w:val="000000"/>
          <w:sz w:val="22"/>
        </w:rPr>
        <w:t xml:space="preserve">Storage of saleable medical cannabidiol.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dispensary shall store medical cannabidiol to prevent diversion, theft, or loss, including ensuring that: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Medical cannabidiol is kept in a secure and monitored location within the dispensary;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Cabinets or storage containers inside the secure and monitored area are locked at the end of a business day.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dispensary shall store all medical cannabidiol: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 areas that are maintained in a clean, orderly, and well-ventilated condition;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 areas that are free from infestation by insects, rodents, birds, and other pests of any kind;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According to the manufacturer’s requirements regarding temperature, light exposure, or other environmental conditions;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Under conditions that will protect the product and its container against physical, chemical, and microbial contamination and deterioration.</w:t>
      </w:r>
    </w:p>
    <w:p>
      <w:pPr>
        <w:spacing w:before="0" w:after="0"/>
        <w:ind w:left="120"/>
        <w:jc w:val="both"/>
      </w:pPr>
      <w:r>
        <w:rPr>
          <w:rFonts w:ascii="Times New Roman" w:hAnsi="Times New Roman"/>
          <w:b/>
          <w:i w:val="false"/>
          <w:color w:val="000000"/>
          <w:sz w:val="22"/>
        </w:rPr>
        <w:t>154.38(2)</w:t>
      </w:r>
      <w:r>
        <w:rPr>
          <w:rFonts w:ascii="Times New Roman" w:hAnsi="Times New Roman"/>
          <w:b w:val="false"/>
          <w:i w:val="false"/>
          <w:color w:val="000000"/>
          <w:sz w:val="22"/>
        </w:rPr>
        <w:t> </w:t>
      </w:r>
      <w:r>
        <w:rPr>
          <w:rFonts w:ascii="Times New Roman" w:hAnsi="Times New Roman"/>
          <w:b w:val="false"/>
          <w:i/>
          <w:color w:val="000000"/>
          <w:sz w:val="22"/>
        </w:rPr>
        <w:t xml:space="preserve">Storage of returned medical cannabidiol. </w:t>
      </w:r>
      <w:r>
        <w:rPr>
          <w:rFonts w:ascii="Times New Roman" w:hAnsi="Times New Roman"/>
          <w:b w:val="false"/>
          <w:i w:val="false"/>
          <w:color w:val="000000"/>
          <w:sz w:val="22"/>
        </w:rPr>
        <w:t xml:space="preserve">A dispensary shall maintain a separate secure storage area for medical cannabidiol that is to be returned to a manufacturer for disposal, including medical cannabidiol that is outdated, damaged, deteriorated, mislabeled, or contaminated, or whose containers or packaging has been opened or breached, until the medical cannabidiol is collected by a manufacturer.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641—154.39</w:t>
      </w:r>
      <w:r>
        <w:rPr>
          <w:rFonts w:ascii="Times New Roman" w:hAnsi="Times New Roman"/>
          <w:b/>
          <w:i w:val="false"/>
          <w:color w:val="000000"/>
          <w:sz w:val="22"/>
        </w:rPr>
        <w:t xml:space="preserve">(124E) </w:t>
      </w:r>
      <w:r>
        <w:rPr>
          <w:rFonts w:ascii="Times New Roman" w:hAnsi="Times New Roman"/>
          <w:b/>
          <w:i w:val="false"/>
          <w:color w:val="000000"/>
          <w:sz w:val="22"/>
        </w:rPr>
        <w:t xml:space="preserve">Dispensing. </w:t>
      </w:r>
    </w:p>
    <w:p>
      <w:pPr>
        <w:spacing w:before="0" w:after="0"/>
        <w:ind w:left="120"/>
        <w:jc w:val="both"/>
      </w:pPr>
      <w:r>
        <w:rPr>
          <w:rFonts w:ascii="Times New Roman" w:hAnsi="Times New Roman"/>
          <w:b/>
          <w:i w:val="false"/>
          <w:color w:val="000000"/>
          <w:sz w:val="22"/>
        </w:rPr>
        <w:t>154.39(1)</w:t>
      </w:r>
      <w:r>
        <w:rPr>
          <w:rFonts w:ascii="Times New Roman" w:hAnsi="Times New Roman"/>
          <w:b w:val="false"/>
          <w:i w:val="false"/>
          <w:color w:val="000000"/>
          <w:sz w:val="22"/>
        </w:rPr>
        <w:t> </w:t>
      </w:r>
      <w:r>
        <w:rPr>
          <w:rFonts w:ascii="Times New Roman" w:hAnsi="Times New Roman"/>
          <w:b w:val="false"/>
          <w:i/>
          <w:color w:val="000000"/>
          <w:sz w:val="22"/>
        </w:rPr>
        <w:t xml:space="preserve">Access to all forms of product. </w:t>
      </w:r>
      <w:r>
        <w:rPr>
          <w:rFonts w:ascii="Times New Roman" w:hAnsi="Times New Roman"/>
          <w:b w:val="false"/>
          <w:i w:val="false"/>
          <w:color w:val="000000"/>
          <w:sz w:val="22"/>
        </w:rPr>
        <w:t>A dispensary shall provide access to all medical cannabidiol forms produced by each licensed manufacturer.</w:t>
      </w:r>
    </w:p>
    <w:p>
      <w:pPr>
        <w:spacing w:before="0" w:after="0"/>
        <w:ind w:left="120"/>
        <w:jc w:val="both"/>
      </w:pPr>
      <w:r>
        <w:rPr>
          <w:rFonts w:ascii="Times New Roman" w:hAnsi="Times New Roman"/>
          <w:b/>
          <w:i w:val="false"/>
          <w:color w:val="000000"/>
          <w:sz w:val="22"/>
        </w:rPr>
        <w:t>154.39(2)</w:t>
      </w:r>
      <w:r>
        <w:rPr>
          <w:rFonts w:ascii="Times New Roman" w:hAnsi="Times New Roman"/>
          <w:b w:val="false"/>
          <w:i w:val="false"/>
          <w:color w:val="000000"/>
          <w:sz w:val="22"/>
        </w:rPr>
        <w:t> </w:t>
      </w:r>
      <w:r>
        <w:rPr>
          <w:rFonts w:ascii="Times New Roman" w:hAnsi="Times New Roman"/>
          <w:b w:val="false"/>
          <w:i/>
          <w:color w:val="000000"/>
          <w:sz w:val="22"/>
        </w:rPr>
        <w:t xml:space="preserve">Dispensing to a patient or primary caregiver. </w:t>
      </w:r>
      <w:r>
        <w:rPr>
          <w:rFonts w:ascii="Times New Roman" w:hAnsi="Times New Roman"/>
          <w:b w:val="false"/>
          <w:i w:val="false"/>
          <w:color w:val="000000"/>
          <w:sz w:val="22"/>
        </w:rPr>
        <w:t>Prior to dispensing any medical cannabidiol to a patient, a dispensary shall do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Verify the patient or primary caregiver’s identity using acceptable photo identification and that the patient or primary caregiver is over 18 years of age. Acceptable photo identification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valid Iowa driver’s license;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 valid Iowa nonoperator’s identification card;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U.S. passport;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U.S. military ID or veteran ID; 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 tribal ID card/document;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Verify that the patient or primary caregiver, if applicable, is registered and listed in the secure sales and inventory tracking system and has a valid medical registration card;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Check the secure sales and inventory tracking system for the patient’s total tetrahydrocannabinol 90-day purchase limit and the amount of total tetrahydrocannabinol that the patient and the patient’s primary caregiver(s) have purchased on behalf of the patient in the past 90 days to ensure that the amount of total tetrahydrocannabinol sold by the dispensary to the patient does not exceed the patient’s purchase limit;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Assign a tracking number to any medical cannabidiol that is to be dispensed to the patient or primary caregiver; or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Issue a label that contains the following information, which may be printed on a secondary label or package insert: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The medical cannabidiol tracking number; </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patient registration number;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date and time the medical cannabidiol is dispensed;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name and address of the dispensary;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Any specific instructions for use based upon manufacturer guidelines or department rules. Text shall not include any false, misleading, or unsubstantiated statements regarding health or physical benefits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641—154.40</w:t>
      </w:r>
      <w:r>
        <w:rPr>
          <w:rFonts w:ascii="Times New Roman" w:hAnsi="Times New Roman"/>
          <w:b/>
          <w:i w:val="false"/>
          <w:color w:val="000000"/>
          <w:sz w:val="22"/>
        </w:rPr>
        <w:t xml:space="preserve">(124E) </w:t>
      </w:r>
      <w:r>
        <w:rPr>
          <w:rFonts w:ascii="Times New Roman" w:hAnsi="Times New Roman"/>
          <w:b/>
          <w:i w:val="false"/>
          <w:color w:val="000000"/>
          <w:sz w:val="22"/>
        </w:rPr>
        <w:t xml:space="preserve">Transportation of medical cannabidiol. </w:t>
      </w:r>
      <w:r>
        <w:rPr>
          <w:rFonts w:ascii="Times New Roman" w:hAnsi="Times New Roman"/>
          <w:b w:val="false"/>
          <w:i w:val="false"/>
          <w:color w:val="000000"/>
          <w:sz w:val="22"/>
        </w:rPr>
        <w:t>A dispensary is not authorized to transport medical cannabidiol, unless approved by the department. Any approved transport shall be logged in the secure sales and inventory tracking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641—154.41</w:t>
      </w:r>
      <w:r>
        <w:rPr>
          <w:rFonts w:ascii="Times New Roman" w:hAnsi="Times New Roman"/>
          <w:b/>
          <w:i w:val="false"/>
          <w:color w:val="000000"/>
          <w:sz w:val="22"/>
        </w:rPr>
        <w:t xml:space="preserve">(124E) </w:t>
      </w:r>
      <w:r>
        <w:rPr>
          <w:rFonts w:ascii="Times New Roman" w:hAnsi="Times New Roman"/>
          <w:b/>
          <w:i w:val="false"/>
          <w:color w:val="000000"/>
          <w:sz w:val="22"/>
        </w:rPr>
        <w:t xml:space="preserve">Disposal of medical cannabidiol. </w:t>
      </w:r>
    </w:p>
    <w:p>
      <w:pPr>
        <w:spacing w:before="0" w:after="0"/>
        <w:ind w:left="120"/>
        <w:jc w:val="both"/>
      </w:pPr>
      <w:r>
        <w:rPr>
          <w:rFonts w:ascii="Times New Roman" w:hAnsi="Times New Roman"/>
          <w:b/>
          <w:i w:val="false"/>
          <w:color w:val="000000"/>
          <w:sz w:val="22"/>
        </w:rPr>
        <w:t>154.41(1)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excess, expired, or damaged medical cannabidiol. </w:t>
      </w:r>
      <w:r>
        <w:rPr>
          <w:rFonts w:ascii="Times New Roman" w:hAnsi="Times New Roman"/>
          <w:b w:val="false"/>
          <w:i w:val="false"/>
          <w:color w:val="000000"/>
          <w:sz w:val="22"/>
        </w:rPr>
        <w:t>Dispensaries shall identify unused, excess, expired, or damaged medical cannabidiol.</w:t>
      </w:r>
    </w:p>
    <w:p>
      <w:pPr>
        <w:spacing w:before="0" w:after="0"/>
        <w:ind w:left="120"/>
        <w:jc w:val="both"/>
      </w:pPr>
      <w:r>
        <w:rPr>
          <w:rFonts w:ascii="Times New Roman" w:hAnsi="Times New Roman"/>
          <w:b/>
          <w:i w:val="false"/>
          <w:color w:val="000000"/>
          <w:sz w:val="22"/>
        </w:rPr>
        <w:t>154.41(2)</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from a patient or primary caregiver to a dispensary.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dispensary shall accept at no charge medical cannabidiol waste from any patient or primary caregiver. A dispensary may provide all medical cannabidiol waste to the manufacturer for disposal.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dispensary shall enter the following information into the secure sales and inventory tracking system for medical cannabidiol returned from a patient or primary caregiver being returned to the manufacturer: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tracking number assigned at the time of the dispensing, if available, or the name of the patient, if the tracking number is unavailable;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date the medical cannabidiol was returned;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quantity of medical cannabidiol returned;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type and lot number of medical cannabidiol returned.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dispensary shall store medical cannabidiol returned from patients and primary caregivers.</w:t>
      </w:r>
    </w:p>
    <w:p>
      <w:pPr>
        <w:spacing w:before="0" w:after="0"/>
        <w:ind w:left="120"/>
        <w:jc w:val="both"/>
      </w:pPr>
      <w:r>
        <w:rPr>
          <w:rFonts w:ascii="Times New Roman" w:hAnsi="Times New Roman"/>
          <w:b/>
          <w:i w:val="false"/>
          <w:color w:val="000000"/>
          <w:sz w:val="22"/>
        </w:rPr>
        <w:t>154.41(3)</w:t>
      </w:r>
      <w:r>
        <w:rPr>
          <w:rFonts w:ascii="Times New Roman" w:hAnsi="Times New Roman"/>
          <w:b w:val="false"/>
          <w:i w:val="false"/>
          <w:color w:val="000000"/>
          <w:sz w:val="22"/>
        </w:rPr>
        <w:t> </w:t>
      </w:r>
      <w:r>
        <w:rPr>
          <w:rFonts w:ascii="Times New Roman" w:hAnsi="Times New Roman"/>
          <w:b w:val="false"/>
          <w:i/>
          <w:color w:val="000000"/>
          <w:sz w:val="22"/>
        </w:rPr>
        <w:t xml:space="preserve">Unused, excess, expired, damaged, or returned medical cannabidiol. </w:t>
      </w:r>
      <w:r>
        <w:rPr>
          <w:rFonts w:ascii="Times New Roman" w:hAnsi="Times New Roman"/>
          <w:b w:val="false"/>
          <w:i w:val="false"/>
          <w:color w:val="000000"/>
          <w:sz w:val="22"/>
        </w:rPr>
        <w:t xml:space="preserve">Unused, excess, expired, damaged, or returned medical cannabidiol shall be stored as described in subrule </w:t>
      </w:r>
      <w:hyperlink r:id="rId61">
        <w:r>
          <w:rPr>
            <w:rStyle w:val="Hyperlink"/>
            <w:rFonts w:ascii="Times New Roman" w:hAnsi="Times New Roman"/>
            <w:b w:val="false"/>
            <w:i w:val="false"/>
            <w:color w:val="000000"/>
            <w:sz w:val="22"/>
          </w:rPr>
          <w:t>154.38(2)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154.41(4)</w:t>
      </w:r>
      <w:r>
        <w:rPr>
          <w:rFonts w:ascii="Times New Roman" w:hAnsi="Times New Roman"/>
          <w:b w:val="false"/>
          <w:i w:val="false"/>
          <w:color w:val="000000"/>
          <w:sz w:val="22"/>
        </w:rPr>
        <w:t> </w:t>
      </w:r>
      <w:r>
        <w:rPr>
          <w:rFonts w:ascii="Times New Roman" w:hAnsi="Times New Roman"/>
          <w:b w:val="false"/>
          <w:i/>
          <w:color w:val="000000"/>
          <w:sz w:val="22"/>
        </w:rPr>
        <w:t xml:space="preserve">Return of medical cannabidiol to a manufacturer. </w:t>
      </w:r>
      <w:r>
        <w:rPr>
          <w:rFonts w:ascii="Times New Roman" w:hAnsi="Times New Roman"/>
          <w:b w:val="false"/>
          <w:i w:val="false"/>
          <w:color w:val="000000"/>
          <w:sz w:val="22"/>
        </w:rPr>
        <w:t>A dispensary shall record information on all medical cannabidiol collected by the manufacturer in the secure sales and inventory tracking system. Information shall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date the medical cannabidiol was collected by the manufacturer;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quantity of medical cannabidiol collected;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type and lot number of medical cannabidiol collected.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641—154.42</w:t>
      </w:r>
      <w:r>
        <w:rPr>
          <w:rFonts w:ascii="Times New Roman" w:hAnsi="Times New Roman"/>
          <w:b/>
          <w:i w:val="false"/>
          <w:color w:val="000000"/>
          <w:sz w:val="22"/>
        </w:rPr>
        <w:t xml:space="preserve">(124E) </w:t>
      </w:r>
      <w:r>
        <w:rPr>
          <w:rFonts w:ascii="Times New Roman" w:hAnsi="Times New Roman"/>
          <w:b/>
          <w:i w:val="false"/>
          <w:color w:val="000000"/>
          <w:sz w:val="22"/>
        </w:rPr>
        <w:t xml:space="preserve">Inventory. </w:t>
      </w:r>
    </w:p>
    <w:p>
      <w:pPr>
        <w:spacing w:before="0" w:after="0"/>
        <w:ind w:left="120"/>
        <w:jc w:val="both"/>
      </w:pPr>
      <w:r>
        <w:rPr>
          <w:rFonts w:ascii="Times New Roman" w:hAnsi="Times New Roman"/>
          <w:b/>
          <w:i w:val="false"/>
          <w:color w:val="000000"/>
          <w:sz w:val="22"/>
        </w:rPr>
        <w:t>154.42(1)</w:t>
      </w:r>
      <w:r>
        <w:rPr>
          <w:rFonts w:ascii="Times New Roman" w:hAnsi="Times New Roman"/>
          <w:b w:val="false"/>
          <w:i w:val="false"/>
          <w:color w:val="000000"/>
          <w:sz w:val="22"/>
        </w:rPr>
        <w:t> </w:t>
      </w:r>
      <w:r>
        <w:rPr>
          <w:rFonts w:ascii="Times New Roman" w:hAnsi="Times New Roman"/>
          <w:b w:val="false"/>
          <w:i/>
          <w:color w:val="000000"/>
          <w:sz w:val="22"/>
        </w:rPr>
        <w:t xml:space="preserve">Inventory controls and procedures. </w:t>
      </w:r>
      <w:r>
        <w:rPr>
          <w:rFonts w:ascii="Times New Roman" w:hAnsi="Times New Roman"/>
          <w:b w:val="false"/>
          <w:i w:val="false"/>
          <w:color w:val="000000"/>
          <w:sz w:val="22"/>
        </w:rPr>
        <w:t>A dispensary shall establish inventory controls and procedures for conducting inventory reviews to prevent and detect any diversion, theft, or loss in a timely manner.</w:t>
      </w:r>
    </w:p>
    <w:p>
      <w:pPr>
        <w:spacing w:before="0" w:after="0"/>
        <w:ind w:left="120"/>
        <w:jc w:val="both"/>
      </w:pPr>
      <w:r>
        <w:rPr>
          <w:rFonts w:ascii="Times New Roman" w:hAnsi="Times New Roman"/>
          <w:b/>
          <w:i w:val="false"/>
          <w:color w:val="000000"/>
          <w:sz w:val="22"/>
        </w:rPr>
        <w:t>154.42(2)</w:t>
      </w:r>
      <w:r>
        <w:rPr>
          <w:rFonts w:ascii="Times New Roman" w:hAnsi="Times New Roman"/>
          <w:b w:val="false"/>
          <w:i w:val="false"/>
          <w:color w:val="000000"/>
          <w:sz w:val="22"/>
        </w:rPr>
        <w:t> </w:t>
      </w:r>
      <w:r>
        <w:rPr>
          <w:rFonts w:ascii="Times New Roman" w:hAnsi="Times New Roman"/>
          <w:b w:val="false"/>
          <w:i/>
          <w:color w:val="000000"/>
          <w:sz w:val="22"/>
        </w:rPr>
        <w:t xml:space="preserve">Real-time inventory required. </w:t>
      </w:r>
      <w:r>
        <w:rPr>
          <w:rFonts w:ascii="Times New Roman" w:hAnsi="Times New Roman"/>
          <w:b w:val="false"/>
          <w:i w:val="false"/>
          <w:color w:val="000000"/>
          <w:sz w:val="22"/>
        </w:rPr>
        <w:t>A dispensary shall use the secure sales and inventory tracking system to maintain a real-time record of the dispensary’s inventory of medical cannabidiol to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quantity and form of saleable medical cannabidiol maintained at the dispensary on a daily basis;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amount of damaged, expired, or returned medical cannabidiol being held at the dispensary for return to a manufacturer;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Other information deemed necessary and requested by the department.</w:t>
      </w:r>
    </w:p>
    <w:p>
      <w:pPr>
        <w:spacing w:before="0" w:after="0"/>
        <w:ind w:left="120"/>
        <w:jc w:val="both"/>
      </w:pPr>
      <w:r>
        <w:rPr>
          <w:rFonts w:ascii="Times New Roman" w:hAnsi="Times New Roman"/>
          <w:b/>
          <w:i w:val="false"/>
          <w:color w:val="000000"/>
          <w:sz w:val="22"/>
        </w:rPr>
        <w:t>154.42(3)</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At least once per calendar week, a dispensary shall reconcile all medical cannabidiol with the inventory recorded in the secure sales and inventory tracking system. Discrepancies shall be handled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dispensary shall report suspected diversion of medical cannabidiol to the department and law enforcement within 24 hours of discovery.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dispensary shall have up to 24 hours to reconcile the dispensary’s physical inventory with the inventory recorded in the secure sales and inventory tracking system. If the dispensary cannot reconcile the dispensary’s physical inventory with the secure sales and inventory tracking system’s inventory within 24 hours but diversion of product is not suspected, the dispensary shall immediately contact the department to report the discrepancy and to initiate a compliance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641—154.43</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assurance and control. </w:t>
      </w:r>
      <w:r>
        <w:rPr>
          <w:rFonts w:ascii="Times New Roman" w:hAnsi="Times New Roman"/>
          <w:b w:val="false"/>
          <w:i w:val="false"/>
          <w:color w:val="000000"/>
          <w:sz w:val="22"/>
        </w:rPr>
        <w:t>A dispensary shall cooperate with manufacturers and the department on quality assurance and control procedures, including participating in stability-testing studies, developing sampling strategies, and returning medical cannabidiol that has been recalled.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MEDICAL CANNABIDIOL BOARD</w:t>
      </w:r>
    </w:p>
    <w:p>
      <w:pPr>
        <w:spacing w:before="0" w:after="0"/>
        <w:ind w:left="120"/>
        <w:jc w:val="both"/>
      </w:pPr>
      <w:r>
        <w:rPr>
          <w:rFonts w:ascii="Times New Roman" w:hAnsi="Times New Roman"/>
          <w:b/>
          <w:i w:val="false"/>
          <w:color w:val="000000"/>
          <w:sz w:val="22"/>
        </w:rPr>
        <w:t>641—154.44</w:t>
      </w:r>
      <w:r>
        <w:rPr>
          <w:rFonts w:ascii="Times New Roman" w:hAnsi="Times New Roman"/>
          <w:b/>
          <w:i w:val="false"/>
          <w:color w:val="000000"/>
          <w:sz w:val="22"/>
        </w:rPr>
        <w:t xml:space="preserve">(124E) </w:t>
      </w:r>
      <w:r>
        <w:rPr>
          <w:rFonts w:ascii="Times New Roman" w:hAnsi="Times New Roman"/>
          <w:b/>
          <w:i w:val="false"/>
          <w:color w:val="000000"/>
          <w:sz w:val="22"/>
        </w:rPr>
        <w:t xml:space="preserve">Purpose and duties of board. </w:t>
      </w:r>
      <w:r>
        <w:rPr>
          <w:rFonts w:ascii="Times New Roman" w:hAnsi="Times New Roman"/>
          <w:b w:val="false"/>
          <w:i w:val="false"/>
          <w:color w:val="000000"/>
          <w:sz w:val="22"/>
        </w:rPr>
        <w:t xml:space="preserve">The purpose of the board is to administer the provisions of Iowa Code section </w:t>
      </w:r>
      <w:hyperlink r:id="rId62">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641—154.45</w:t>
      </w:r>
      <w:r>
        <w:rPr>
          <w:rFonts w:ascii="Times New Roman" w:hAnsi="Times New Roman"/>
          <w:b/>
          <w:i w:val="false"/>
          <w:color w:val="000000"/>
          <w:sz w:val="22"/>
        </w:rPr>
        <w:t xml:space="preserve">(124E)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i w:val="false"/>
          <w:color w:val="000000"/>
          <w:sz w:val="22"/>
        </w:rPr>
        <w:t>154.45(1)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board shall be composed of members as set forth in Iowa Code section </w:t>
      </w:r>
      <w:hyperlink r:id="rId63">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The appointments, unless provided otherwise by law, shall be for three-year staggered terms that shall expire on June 30. Board members shall be knowledgeable about the use of medical cannabidiol. The medical practitioners appointed to the board shall be licensed in Iowa and be nationally board-certified in their area of specialty.</w:t>
      </w:r>
    </w:p>
    <w:p>
      <w:pPr>
        <w:spacing w:before="0" w:after="0"/>
        <w:ind w:left="120"/>
        <w:jc w:val="both"/>
      </w:pPr>
      <w:r>
        <w:rPr>
          <w:rFonts w:ascii="Times New Roman" w:hAnsi="Times New Roman"/>
          <w:b/>
          <w:i w:val="false"/>
          <w:color w:val="000000"/>
          <w:sz w:val="22"/>
        </w:rPr>
        <w:t>154.45(2)</w:t>
      </w:r>
      <w:r>
        <w:rPr>
          <w:rFonts w:ascii="Times New Roman" w:hAnsi="Times New Roman"/>
          <w:b w:val="false"/>
          <w:i w:val="false"/>
          <w:color w:val="000000"/>
          <w:sz w:val="22"/>
        </w:rPr>
        <w:t> </w:t>
      </w:r>
      <w:r>
        <w:rPr>
          <w:rFonts w:ascii="Times New Roman" w:hAnsi="Times New Roman"/>
          <w:b w:val="false"/>
          <w:i/>
          <w:color w:val="000000"/>
          <w:sz w:val="22"/>
        </w:rPr>
        <w:t xml:space="preserve">Vacancies. </w:t>
      </w:r>
      <w:r>
        <w:rPr>
          <w:rFonts w:ascii="Times New Roman" w:hAnsi="Times New Roman"/>
          <w:b w:val="false"/>
          <w:i w:val="false"/>
          <w:color w:val="000000"/>
          <w:sz w:val="22"/>
        </w:rPr>
        <w:t>Vacancies shall be filled in the same manner in which the original appointments were made for the balance of the unexpired term.</w:t>
      </w:r>
    </w:p>
    <w:p>
      <w:pPr>
        <w:spacing w:before="0" w:after="0"/>
        <w:ind w:left="120"/>
        <w:jc w:val="both"/>
      </w:pPr>
      <w:r>
        <w:rPr>
          <w:rFonts w:ascii="Times New Roman" w:hAnsi="Times New Roman"/>
          <w:b/>
          <w:i w:val="false"/>
          <w:color w:val="000000"/>
          <w:sz w:val="22"/>
        </w:rPr>
        <w:t>154.45(3)</w:t>
      </w:r>
      <w:r>
        <w:rPr>
          <w:rFonts w:ascii="Times New Roman" w:hAnsi="Times New Roman"/>
          <w:b w:val="false"/>
          <w:i w:val="false"/>
          <w:color w:val="000000"/>
          <w:sz w:val="22"/>
        </w:rPr>
        <w:t> </w:t>
      </w:r>
      <w:r>
        <w:rPr>
          <w:rFonts w:ascii="Times New Roman" w:hAnsi="Times New Roman"/>
          <w:b w:val="false"/>
          <w:i/>
          <w:color w:val="000000"/>
          <w:sz w:val="22"/>
        </w:rPr>
        <w:t xml:space="preserve">Absences. </w:t>
      </w:r>
      <w:r>
        <w:rPr>
          <w:rFonts w:ascii="Times New Roman" w:hAnsi="Times New Roman"/>
          <w:b w:val="false"/>
          <w:i w:val="false"/>
          <w:color w:val="000000"/>
          <w:sz w:val="22"/>
        </w:rPr>
        <w:t>Three consecutive unexcused absences shall be grounds for the governor to consider dismissal of a board member and to appoint another. Department staff is charged with providing notification of absences to the governor’s office.</w:t>
      </w:r>
    </w:p>
    <w:p>
      <w:pPr>
        <w:spacing w:before="0" w:after="0"/>
        <w:ind w:left="120"/>
        <w:jc w:val="both"/>
      </w:pPr>
      <w:r>
        <w:rPr>
          <w:rFonts w:ascii="Times New Roman" w:hAnsi="Times New Roman"/>
          <w:b/>
          <w:i w:val="false"/>
          <w:color w:val="000000"/>
          <w:sz w:val="22"/>
        </w:rPr>
        <w:t>154.45(4)</w:t>
      </w:r>
      <w:r>
        <w:rPr>
          <w:rFonts w:ascii="Times New Roman" w:hAnsi="Times New Roman"/>
          <w:b w:val="false"/>
          <w:i w:val="false"/>
          <w:color w:val="000000"/>
          <w:sz w:val="22"/>
        </w:rPr>
        <w:t> </w:t>
      </w:r>
      <w:r>
        <w:rPr>
          <w:rFonts w:ascii="Times New Roman" w:hAnsi="Times New Roman"/>
          <w:b w:val="false"/>
          <w:i/>
          <w:color w:val="000000"/>
          <w:sz w:val="22"/>
        </w:rPr>
        <w:t xml:space="preserve">Board meetings.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Board meetings shall be conducted in accordance with the open meetings requirements of Iowa Code chapter </w:t>
      </w:r>
      <w:hyperlink r:id="rId6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department’s bureau of cannabis regulation shall schedule the time, date and location of meetings.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majority of the members shall constitute a quorum for conducting business of the board.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An affirmative vote of a majority of the board members present at a meeting is required for a motion to pass.</w:t>
      </w:r>
    </w:p>
    <w:p>
      <w:pPr>
        <w:spacing w:before="0" w:after="0"/>
        <w:ind w:left="120"/>
        <w:jc w:val="both"/>
      </w:pPr>
      <w:r>
        <w:rPr>
          <w:rFonts w:ascii="Times New Roman" w:hAnsi="Times New Roman"/>
          <w:b/>
          <w:i w:val="false"/>
          <w:color w:val="000000"/>
          <w:sz w:val="22"/>
        </w:rPr>
        <w:t>154.45(5)</w:t>
      </w:r>
      <w:r>
        <w:rPr>
          <w:rFonts w:ascii="Times New Roman" w:hAnsi="Times New Roman"/>
          <w:b w:val="false"/>
          <w:i w:val="false"/>
          <w:color w:val="000000"/>
          <w:sz w:val="22"/>
        </w:rPr>
        <w:t> </w:t>
      </w:r>
      <w:r>
        <w:rPr>
          <w:rFonts w:ascii="Times New Roman" w:hAnsi="Times New Roman"/>
          <w:b w:val="false"/>
          <w:i/>
          <w:color w:val="000000"/>
          <w:sz w:val="22"/>
        </w:rPr>
        <w:t xml:space="preserve">Facilities and staffing. </w:t>
      </w:r>
      <w:r>
        <w:rPr>
          <w:rFonts w:ascii="Times New Roman" w:hAnsi="Times New Roman"/>
          <w:b w:val="false"/>
          <w:i w:val="false"/>
          <w:color w:val="000000"/>
          <w:sz w:val="22"/>
        </w:rPr>
        <w:t>The department shall furnish the board with the necessary facilities and employees to perform the duties required by this chapter but shall be reimbursed for all costs incurred by fee revenue generated from licensing activities and registration card applications.</w:t>
      </w:r>
    </w:p>
    <w:p>
      <w:pPr>
        <w:spacing w:before="0" w:after="0"/>
        <w:ind w:left="120"/>
        <w:jc w:val="both"/>
      </w:pPr>
      <w:r>
        <w:rPr>
          <w:rFonts w:ascii="Times New Roman" w:hAnsi="Times New Roman"/>
          <w:b/>
          <w:i w:val="false"/>
          <w:color w:val="000000"/>
          <w:sz w:val="22"/>
        </w:rPr>
        <w:t>154.45(6)</w:t>
      </w:r>
      <w:r>
        <w:rPr>
          <w:rFonts w:ascii="Times New Roman" w:hAnsi="Times New Roman"/>
          <w:b w:val="false"/>
          <w:i w:val="false"/>
          <w:color w:val="000000"/>
          <w:sz w:val="22"/>
        </w:rPr>
        <w:t> </w:t>
      </w:r>
      <w:r>
        <w:rPr>
          <w:rFonts w:ascii="Times New Roman" w:hAnsi="Times New Roman"/>
          <w:b w:val="false"/>
          <w:i/>
          <w:color w:val="000000"/>
          <w:sz w:val="22"/>
        </w:rPr>
        <w:t xml:space="preserve">Subcommittees. </w:t>
      </w:r>
      <w:r>
        <w:rPr>
          <w:rFonts w:ascii="Times New Roman" w:hAnsi="Times New Roman"/>
          <w:b w:val="false"/>
          <w:i w:val="false"/>
          <w:color w:val="000000"/>
          <w:sz w:val="22"/>
        </w:rPr>
        <w:t>The board may designate one or more subcommittees to perform such duties as may be deemed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641—154.46</w:t>
      </w:r>
      <w:r>
        <w:rPr>
          <w:rFonts w:ascii="Times New Roman" w:hAnsi="Times New Roman"/>
          <w:b/>
          <w:i w:val="false"/>
          <w:color w:val="000000"/>
          <w:sz w:val="22"/>
        </w:rPr>
        <w:t xml:space="preserve">(124E) </w:t>
      </w:r>
      <w:r>
        <w:rPr>
          <w:rFonts w:ascii="Times New Roman" w:hAnsi="Times New Roman"/>
          <w:b/>
          <w:i w:val="false"/>
          <w:color w:val="000000"/>
          <w:sz w:val="22"/>
        </w:rPr>
        <w:t xml:space="preserve">Petitions for the addition or removal of medical conditions, medical treatments or debilitating diseases. </w:t>
      </w:r>
      <w:r>
        <w:rPr>
          <w:rFonts w:ascii="Times New Roman" w:hAnsi="Times New Roman"/>
          <w:b w:val="false"/>
          <w:i w:val="false"/>
          <w:color w:val="000000"/>
          <w:sz w:val="22"/>
        </w:rPr>
        <w:t xml:space="preserve">Pursuant to Iowa Code section </w:t>
      </w:r>
      <w:hyperlink r:id="rId65">
        <w:r>
          <w:rPr>
            <w:rStyle w:val="Hyperlink"/>
            <w:rFonts w:ascii="Times New Roman" w:hAnsi="Times New Roman"/>
            <w:b w:val="false"/>
            <w:i w:val="false"/>
            <w:color w:val="000000"/>
            <w:sz w:val="22"/>
          </w:rPr>
          <w:t>124E.5(3)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board shall accept and review petitions to modify the list of debilitating medical conditions for the medical use of cannabidiol. The petition shall be in accordance with </w:t>
      </w:r>
      <w:hyperlink r:id="rId66">
        <w:r>
          <w:rPr>
            <w:rStyle w:val="Hyperlink"/>
            <w:rFonts w:ascii="Times New Roman" w:hAnsi="Times New Roman"/>
            <w:b w:val="false"/>
            <w:i w:val="false"/>
            <w:color w:val="000000"/>
            <w:sz w:val="22"/>
          </w:rPr>
          <w:t>441—Chapter 4</w:t>
        </w:r>
      </w:hyperlink>
      <w:r>
        <w:rPr>
          <w:rFonts w:ascii="Times New Roman" w:hAnsi="Times New Roman"/>
          <w:b w:val="false"/>
          <w:i w:val="false"/>
          <w:color w:val="000000"/>
          <w:sz w:val="22"/>
        </w:rPr>
        <w:t>, except that the caption should read “Petition for Addition or Removal.”</w:t>
      </w:r>
    </w:p>
    <w:p>
      <w:pPr>
        <w:spacing w:before="0" w:after="0"/>
        <w:ind w:left="120"/>
        <w:jc w:val="both"/>
      </w:pPr>
      <w:r>
        <w:rPr>
          <w:rFonts w:ascii="Times New Roman" w:hAnsi="Times New Roman"/>
          <w:b/>
          <w:i w:val="false"/>
          <w:color w:val="000000"/>
          <w:sz w:val="22"/>
        </w:rPr>
        <w:t>154.46(1)</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 xml:space="preserve">Inquiries concerning the status of a petition may be made to the bureau of cannabis regulation at the department’s address. </w:t>
      </w:r>
    </w:p>
    <w:p>
      <w:pPr>
        <w:spacing w:before="0" w:after="0"/>
        <w:ind w:left="120"/>
        <w:jc w:val="both"/>
      </w:pPr>
      <w:r>
        <w:rPr>
          <w:rFonts w:ascii="Times New Roman" w:hAnsi="Times New Roman"/>
          <w:b/>
          <w:i w:val="false"/>
          <w:color w:val="000000"/>
          <w:sz w:val="22"/>
        </w:rPr>
        <w:t>154.46(2)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board may request that the petitioner submit additional information concerning the petition. The board may also solicit comments from any person on the substance of the petition. Comments on the substance of the petition may be submitted to the board by any person.</w:t>
      </w:r>
    </w:p>
    <w:p>
      <w:pPr>
        <w:spacing w:before="0" w:after="0"/>
        <w:ind w:left="120"/>
        <w:jc w:val="both"/>
      </w:pPr>
      <w:r>
        <w:rPr>
          <w:rFonts w:ascii="Times New Roman" w:hAnsi="Times New Roman"/>
          <w:b/>
          <w:i w:val="false"/>
          <w:color w:val="000000"/>
          <w:sz w:val="22"/>
        </w:rPr>
        <w:t>154.46(3)</w:t>
      </w:r>
      <w:r>
        <w:rPr>
          <w:rFonts w:ascii="Times New Roman" w:hAnsi="Times New Roman"/>
          <w:b w:val="false"/>
          <w:i w:val="false"/>
          <w:color w:val="000000"/>
          <w:sz w:val="22"/>
        </w:rPr>
        <w:t> </w:t>
      </w:r>
      <w:r>
        <w:rPr>
          <w:rFonts w:ascii="Times New Roman" w:hAnsi="Times New Roman"/>
          <w:b w:val="false"/>
          <w:i/>
          <w:color w:val="000000"/>
          <w:sz w:val="22"/>
        </w:rPr>
        <w:t xml:space="preserve">Presentation to the board. </w:t>
      </w:r>
      <w:r>
        <w:rPr>
          <w:rFonts w:ascii="Times New Roman" w:hAnsi="Times New Roman"/>
          <w:b w:val="false"/>
          <w:i w:val="false"/>
          <w:color w:val="000000"/>
          <w:sz w:val="22"/>
        </w:rPr>
        <w:t>The board may request or allow the petitioner to make an oral presentation of the contents of a petition at a board meeting following submission of the petition.</w:t>
      </w:r>
    </w:p>
    <w:p>
      <w:pPr>
        <w:spacing w:before="0" w:after="0"/>
        <w:ind w:left="120"/>
        <w:jc w:val="both"/>
      </w:pPr>
      <w:r>
        <w:rPr>
          <w:rFonts w:ascii="Times New Roman" w:hAnsi="Times New Roman"/>
          <w:b/>
          <w:i w:val="false"/>
          <w:color w:val="000000"/>
          <w:sz w:val="22"/>
        </w:rPr>
        <w:t>154.46(4)</w:t>
      </w:r>
      <w:r>
        <w:rPr>
          <w:rFonts w:ascii="Times New Roman" w:hAnsi="Times New Roman"/>
          <w:b w:val="false"/>
          <w:i w:val="false"/>
          <w:color w:val="000000"/>
          <w:sz w:val="22"/>
        </w:rPr>
        <w:t> </w:t>
      </w:r>
      <w:r>
        <w:rPr>
          <w:rFonts w:ascii="Times New Roman" w:hAnsi="Times New Roman"/>
          <w:b w:val="false"/>
          <w:i/>
          <w:color w:val="000000"/>
          <w:sz w:val="22"/>
        </w:rPr>
        <w:t xml:space="preserve">Board response. </w:t>
      </w:r>
      <w:r>
        <w:rPr>
          <w:rFonts w:ascii="Times New Roman" w:hAnsi="Times New Roman"/>
          <w:b w:val="false"/>
          <w:i w:val="false"/>
          <w:color w:val="000000"/>
          <w:sz w:val="22"/>
        </w:rPr>
        <w:t xml:space="preserve">The board shall notify the petitioner in writing of the decision within six months after the filing, unless the petitioner agrees to a time extension. If the petition is granted, the board will recommend addition or removal of the medical condition, medical treatment or debilitating disease to the board of medicine. If the petition is denied, the board will provide the rationale for the denial. Notification occurs when the board mails the writing to the petitioner. </w:t>
      </w:r>
    </w:p>
    <w:p>
      <w:pPr>
        <w:spacing w:before="0" w:after="0"/>
        <w:ind w:left="120"/>
        <w:jc w:val="both"/>
      </w:pPr>
      <w:r>
        <w:rPr>
          <w:rFonts w:ascii="Times New Roman" w:hAnsi="Times New Roman"/>
          <w:b/>
          <w:i w:val="false"/>
          <w:color w:val="000000"/>
          <w:sz w:val="22"/>
        </w:rPr>
        <w:t>154.46(5)</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LABORATORY TESTING</w:t>
      </w:r>
    </w:p>
    <w:p>
      <w:pPr>
        <w:spacing w:before="0" w:after="0"/>
        <w:ind w:left="120"/>
        <w:jc w:val="both"/>
      </w:pPr>
      <w:r>
        <w:rPr>
          <w:rFonts w:ascii="Times New Roman" w:hAnsi="Times New Roman"/>
          <w:b/>
          <w:i w:val="false"/>
          <w:color w:val="000000"/>
          <w:sz w:val="22"/>
        </w:rPr>
        <w:t>641—154.47</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the department. </w:t>
      </w:r>
    </w:p>
    <w:p>
      <w:pPr>
        <w:spacing w:before="0" w:after="0"/>
        <w:ind w:left="120"/>
        <w:jc w:val="both"/>
      </w:pPr>
      <w:r>
        <w:rPr>
          <w:rFonts w:ascii="Times New Roman" w:hAnsi="Times New Roman"/>
          <w:b/>
          <w:i w:val="false"/>
          <w:color w:val="000000"/>
          <w:sz w:val="22"/>
        </w:rPr>
        <w:t>154.47(1)</w:t>
      </w:r>
      <w:r>
        <w:rPr>
          <w:rFonts w:ascii="Times New Roman" w:hAnsi="Times New Roman"/>
          <w:b w:val="false"/>
          <w:i w:val="false"/>
          <w:color w:val="000000"/>
          <w:sz w:val="22"/>
        </w:rPr>
        <w:t> </w:t>
      </w:r>
      <w:r>
        <w:rPr>
          <w:rFonts w:ascii="Times New Roman" w:hAnsi="Times New Roman"/>
          <w:b w:val="false"/>
          <w:i/>
          <w:color w:val="000000"/>
          <w:sz w:val="22"/>
        </w:rPr>
        <w:t xml:space="preserve">Laboratory testing requirements and acceptance criteria. </w:t>
      </w:r>
      <w:r>
        <w:rPr>
          <w:rFonts w:ascii="Times New Roman" w:hAnsi="Times New Roman"/>
          <w:b w:val="false"/>
          <w:i w:val="false"/>
          <w:color w:val="000000"/>
          <w:sz w:val="22"/>
        </w:rPr>
        <w:t>The department shall work with manufacturers and laboratories to create and maintain a document describing required sampling methodology, acceptance criteria, stability-testing procedures, and other guidance for manufacturers and laboratories on testing procedures. The department shall provide manufacturers and laboratories no less than 14 days in which to comment on proposed revisions to the document, and the department shall provide no less than 30 days’ notice before a revision takes effect. The document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Describe the minimum number of sample units and reserve samples required for testing by the laboratory;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Describe an option for manufacturers to reduce the amount of testing conducted by allowing compositing of sample units or other techniques that reduce the number of tests required without compromising the safety of the products once a manufacturer has satisfactorily completed a control study for a specific extraction or production process;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Describe the minimum requirements for sample size and testing intervals for stability testing;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Be available on the department’s website (</w:t>
      </w:r>
      <w:hyperlink r:id="rId67">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154.47(2)</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manufacturer sampling protocols. </w:t>
      </w:r>
      <w:r>
        <w:rPr>
          <w:rFonts w:ascii="Times New Roman" w:hAnsi="Times New Roman"/>
          <w:b w:val="false"/>
          <w:i w:val="false"/>
          <w:color w:val="000000"/>
          <w:sz w:val="22"/>
        </w:rPr>
        <w:t>The department shall have two weeks to review and approve or request revisions to a manufacturer’s sampling protocols.</w:t>
      </w:r>
    </w:p>
    <w:p>
      <w:pPr>
        <w:spacing w:before="0" w:after="0"/>
        <w:ind w:left="120"/>
        <w:jc w:val="both"/>
      </w:pPr>
      <w:r>
        <w:rPr>
          <w:rFonts w:ascii="Times New Roman" w:hAnsi="Times New Roman"/>
          <w:b/>
          <w:i w:val="false"/>
          <w:color w:val="000000"/>
          <w:sz w:val="22"/>
        </w:rPr>
        <w:t>154.47(3)</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manufacturer stability-testing procedures. </w:t>
      </w:r>
      <w:r>
        <w:rPr>
          <w:rFonts w:ascii="Times New Roman" w:hAnsi="Times New Roman"/>
          <w:b w:val="false"/>
          <w:i w:val="false"/>
          <w:color w:val="000000"/>
          <w:sz w:val="22"/>
        </w:rPr>
        <w:t xml:space="preserve">The department shall have two weeks to review and approve or request revisions to a manufacturer’s stability-testing procedures. </w:t>
      </w:r>
    </w:p>
    <w:p>
      <w:pPr>
        <w:spacing w:before="0" w:after="0"/>
        <w:ind w:left="120"/>
        <w:jc w:val="both"/>
      </w:pPr>
      <w:r>
        <w:rPr>
          <w:rFonts w:ascii="Times New Roman" w:hAnsi="Times New Roman"/>
          <w:b/>
          <w:i w:val="false"/>
          <w:color w:val="000000"/>
          <w:sz w:val="22"/>
        </w:rPr>
        <w:t>154.47(4)</w:t>
      </w:r>
      <w:r>
        <w:rPr>
          <w:rFonts w:ascii="Times New Roman" w:hAnsi="Times New Roman"/>
          <w:b w:val="false"/>
          <w:i w:val="false"/>
          <w:color w:val="000000"/>
          <w:sz w:val="22"/>
        </w:rPr>
        <w:t> </w:t>
      </w:r>
      <w:r>
        <w:rPr>
          <w:rFonts w:ascii="Times New Roman" w:hAnsi="Times New Roman"/>
          <w:b w:val="false"/>
          <w:i/>
          <w:color w:val="000000"/>
          <w:sz w:val="22"/>
        </w:rPr>
        <w:t xml:space="preserve">Establish a laboratory review committee. </w:t>
      </w:r>
      <w:r>
        <w:rPr>
          <w:rFonts w:ascii="Times New Roman" w:hAnsi="Times New Roman"/>
          <w:b w:val="false"/>
          <w:i w:val="false"/>
          <w:color w:val="000000"/>
          <w:sz w:val="22"/>
        </w:rPr>
        <w:t>The department shall establish a laboratory review committee to assist with the review of applications by laboratories and the establishment of accepted laboratory testing standards and practices.</w:t>
      </w:r>
    </w:p>
    <w:p>
      <w:pPr>
        <w:spacing w:before="0" w:after="0"/>
        <w:ind w:left="120"/>
        <w:jc w:val="both"/>
      </w:pPr>
      <w:r>
        <w:rPr>
          <w:rFonts w:ascii="Times New Roman" w:hAnsi="Times New Roman"/>
          <w:b/>
          <w:i w:val="false"/>
          <w:color w:val="000000"/>
          <w:sz w:val="22"/>
        </w:rPr>
        <w:t>154.47(5)</w:t>
      </w:r>
      <w:r>
        <w:rPr>
          <w:rFonts w:ascii="Times New Roman" w:hAnsi="Times New Roman"/>
          <w:b w:val="false"/>
          <w:i w:val="false"/>
          <w:color w:val="000000"/>
          <w:sz w:val="22"/>
        </w:rPr>
        <w:t> </w:t>
      </w:r>
      <w:r>
        <w:rPr>
          <w:rFonts w:ascii="Times New Roman" w:hAnsi="Times New Roman"/>
          <w:b w:val="false"/>
          <w:i/>
          <w:color w:val="000000"/>
          <w:sz w:val="22"/>
        </w:rPr>
        <w:t xml:space="preserve">Review of laboratory applications. </w:t>
      </w:r>
      <w:r>
        <w:rPr>
          <w:rFonts w:ascii="Times New Roman" w:hAnsi="Times New Roman"/>
          <w:b w:val="false"/>
          <w:i w:val="false"/>
          <w:color w:val="000000"/>
          <w:sz w:val="22"/>
        </w:rPr>
        <w:t xml:space="preserve">The department shall establish a process to review applications from prospective medical cannabidiol testing laboratories. Prospective laboratories shall apply on a form created by the department. The department will determine whether the laboratory meets the criteria for an independent medical cannabidiol testing facility as set forth in the definition of “laboratory” in Iowa Code section </w:t>
      </w:r>
      <w:hyperlink r:id="rId68">
        <w:r>
          <w:rPr>
            <w:rStyle w:val="Hyperlink"/>
            <w:rFonts w:ascii="Times New Roman" w:hAnsi="Times New Roman"/>
            <w:b w:val="false"/>
            <w:i w:val="false"/>
            <w:color w:val="000000"/>
            <w:sz w:val="22"/>
          </w:rPr>
          <w:t>124E.2</w:t>
        </w:r>
      </w:hyperlink>
      <w:r>
        <w:rPr>
          <w:rFonts w:ascii="Times New Roman" w:hAnsi="Times New Roman"/>
          <w:b w:val="false"/>
          <w:i w:val="false"/>
          <w:color w:val="000000"/>
          <w:sz w:val="22"/>
        </w:rPr>
        <w:t xml:space="preserve"> in addition to determining whether the laboratory meets laboratory requirements pursuant to these rules.</w:t>
      </w:r>
    </w:p>
    <w:p>
      <w:pPr>
        <w:spacing w:before="0" w:after="0"/>
        <w:ind w:left="120"/>
        <w:jc w:val="both"/>
      </w:pPr>
      <w:r>
        <w:rPr>
          <w:rFonts w:ascii="Times New Roman" w:hAnsi="Times New Roman"/>
          <w:b/>
          <w:i w:val="false"/>
          <w:color w:val="000000"/>
          <w:sz w:val="22"/>
        </w:rPr>
        <w:t>154.47(6)</w:t>
      </w:r>
      <w:r>
        <w:rPr>
          <w:rFonts w:ascii="Times New Roman" w:hAnsi="Times New Roman"/>
          <w:b w:val="false"/>
          <w:i w:val="false"/>
          <w:color w:val="000000"/>
          <w:sz w:val="22"/>
        </w:rPr>
        <w:t> </w:t>
      </w:r>
      <w:r>
        <w:rPr>
          <w:rFonts w:ascii="Times New Roman" w:hAnsi="Times New Roman"/>
          <w:b w:val="false"/>
          <w:i/>
          <w:color w:val="000000"/>
          <w:sz w:val="22"/>
        </w:rPr>
        <w:t xml:space="preserve">Regulation of independent laboratories. </w:t>
      </w:r>
      <w:r>
        <w:rPr>
          <w:rFonts w:ascii="Times New Roman" w:hAnsi="Times New Roman"/>
          <w:b w:val="false"/>
          <w:i w:val="false"/>
          <w:color w:val="000000"/>
          <w:sz w:val="22"/>
        </w:rPr>
        <w:t xml:space="preserve">The department shall determine on an annual basis whether any approved independent laboratory continues to meet the application criteria of this rule. The department shall establish a process for the annual review of approved independent laboratories. An independent laboratory is subject to reasonable inspection by the department, a department-approved consultant, or another agency pursuant to Iowa Code chapter </w:t>
      </w:r>
      <w:hyperlink r:id="rId69">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and these rules and as authorized by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641—154.48</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a laboratory. </w:t>
      </w:r>
    </w:p>
    <w:p>
      <w:pPr>
        <w:spacing w:before="0" w:after="0"/>
        <w:ind w:left="120"/>
        <w:jc w:val="both"/>
      </w:pPr>
      <w:r>
        <w:rPr>
          <w:rFonts w:ascii="Times New Roman" w:hAnsi="Times New Roman"/>
          <w:b/>
          <w:i w:val="false"/>
          <w:color w:val="000000"/>
          <w:sz w:val="22"/>
        </w:rPr>
        <w:t>154.48(1)</w:t>
      </w:r>
      <w:r>
        <w:rPr>
          <w:rFonts w:ascii="Times New Roman" w:hAnsi="Times New Roman"/>
          <w:b w:val="false"/>
          <w:i w:val="false"/>
          <w:color w:val="000000"/>
          <w:sz w:val="22"/>
        </w:rPr>
        <w:t> </w:t>
      </w:r>
      <w:r>
        <w:rPr>
          <w:rFonts w:ascii="Times New Roman" w:hAnsi="Times New Roman"/>
          <w:b w:val="false"/>
          <w:i/>
          <w:color w:val="000000"/>
          <w:sz w:val="22"/>
        </w:rPr>
        <w:t xml:space="preserve">Minimum testing requirements. </w:t>
      </w:r>
      <w:r>
        <w:rPr>
          <w:rFonts w:ascii="Times New Roman" w:hAnsi="Times New Roman"/>
          <w:b w:val="false"/>
          <w:i w:val="false"/>
          <w:color w:val="000000"/>
          <w:sz w:val="22"/>
        </w:rPr>
        <w:t xml:space="preserve">A laboratory shall establish and implement test methods and corresponding standard operating procedures for the analyses of cannabinoids, residual solvents and processing chemicals, pesticides, microbiological impurities, and metals and other analyses as requested by the department. </w:t>
      </w:r>
    </w:p>
    <w:p>
      <w:pPr>
        <w:spacing w:before="0" w:after="0"/>
        <w:ind w:left="120"/>
        <w:jc w:val="both"/>
      </w:pPr>
      <w:r>
        <w:rPr>
          <w:rFonts w:ascii="Times New Roman" w:hAnsi="Times New Roman"/>
          <w:b/>
          <w:i w:val="false"/>
          <w:color w:val="000000"/>
          <w:sz w:val="22"/>
        </w:rPr>
        <w:t>154.48(2)</w:t>
      </w:r>
      <w:r>
        <w:rPr>
          <w:rFonts w:ascii="Times New Roman" w:hAnsi="Times New Roman"/>
          <w:b w:val="false"/>
          <w:i w:val="false"/>
          <w:color w:val="000000"/>
          <w:sz w:val="22"/>
        </w:rPr>
        <w:t> </w:t>
      </w:r>
      <w:r>
        <w:rPr>
          <w:rFonts w:ascii="Times New Roman" w:hAnsi="Times New Roman"/>
          <w:b w:val="false"/>
          <w:i/>
          <w:color w:val="000000"/>
          <w:sz w:val="22"/>
        </w:rPr>
        <w:t xml:space="preserve">Level of quantitation. </w:t>
      </w:r>
      <w:r>
        <w:rPr>
          <w:rFonts w:ascii="Times New Roman" w:hAnsi="Times New Roman"/>
          <w:b w:val="false"/>
          <w:i w:val="false"/>
          <w:color w:val="000000"/>
          <w:sz w:val="22"/>
        </w:rPr>
        <w:t>A laboratory shall be able to demonstrate that its level of quantitation (LOQ) is below any action level established by the department.</w:t>
      </w:r>
    </w:p>
    <w:p>
      <w:pPr>
        <w:spacing w:before="0" w:after="0"/>
        <w:ind w:left="120"/>
        <w:jc w:val="both"/>
      </w:pPr>
      <w:r>
        <w:rPr>
          <w:rFonts w:ascii="Times New Roman" w:hAnsi="Times New Roman"/>
          <w:b/>
          <w:i w:val="false"/>
          <w:color w:val="000000"/>
          <w:sz w:val="22"/>
        </w:rPr>
        <w:t>154.48(3)</w:t>
      </w:r>
      <w:r>
        <w:rPr>
          <w:rFonts w:ascii="Times New Roman" w:hAnsi="Times New Roman"/>
          <w:b w:val="false"/>
          <w:i w:val="false"/>
          <w:color w:val="000000"/>
          <w:sz w:val="22"/>
        </w:rPr>
        <w:t> </w:t>
      </w:r>
      <w:r>
        <w:rPr>
          <w:rFonts w:ascii="Times New Roman" w:hAnsi="Times New Roman"/>
          <w:b w:val="false"/>
          <w:i/>
          <w:color w:val="000000"/>
          <w:sz w:val="22"/>
        </w:rPr>
        <w:t xml:space="preserve">Inventory tracking. </w:t>
      </w:r>
      <w:r>
        <w:rPr>
          <w:rFonts w:ascii="Times New Roman" w:hAnsi="Times New Roman"/>
          <w:b w:val="false"/>
          <w:i w:val="false"/>
          <w:color w:val="000000"/>
          <w:sz w:val="22"/>
        </w:rPr>
        <w:t>A laboratory shall record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receipt of medical cannabidiol from a manufacturer for testing.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return of medical cannabidiol or waste to a manufacturer.</w:t>
      </w:r>
    </w:p>
    <w:p>
      <w:pPr>
        <w:spacing w:before="0" w:after="0"/>
        <w:ind w:left="120"/>
        <w:jc w:val="both"/>
      </w:pPr>
      <w:r>
        <w:rPr>
          <w:rFonts w:ascii="Times New Roman" w:hAnsi="Times New Roman"/>
          <w:b/>
          <w:i w:val="false"/>
          <w:color w:val="000000"/>
          <w:sz w:val="22"/>
        </w:rPr>
        <w:t>154.48(4)</w:t>
      </w:r>
      <w:r>
        <w:rPr>
          <w:rFonts w:ascii="Times New Roman" w:hAnsi="Times New Roman"/>
          <w:b w:val="false"/>
          <w:i w:val="false"/>
          <w:color w:val="000000"/>
          <w:sz w:val="22"/>
        </w:rPr>
        <w:t> </w:t>
      </w:r>
      <w:r>
        <w:rPr>
          <w:rFonts w:ascii="Times New Roman" w:hAnsi="Times New Roman"/>
          <w:b w:val="false"/>
          <w:i/>
          <w:color w:val="000000"/>
          <w:sz w:val="22"/>
        </w:rPr>
        <w:t xml:space="preserve">Hazardous waste disposal. </w:t>
      </w:r>
      <w:r>
        <w:rPr>
          <w:rFonts w:ascii="Times New Roman" w:hAnsi="Times New Roman"/>
          <w:b w:val="false"/>
          <w:i w:val="false"/>
          <w:color w:val="000000"/>
          <w:sz w:val="22"/>
        </w:rPr>
        <w:t>A laboratory shall do the following when dealing with hazardous waste: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Discard hazardous waste, including hazardous waste containing medical cannabis goods, in accordance with federal and state hazardous waste laws.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Document the waste disposal procedures followed for each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641—154.49</w:t>
      </w:r>
      <w:r>
        <w:rPr>
          <w:rFonts w:ascii="Times New Roman" w:hAnsi="Times New Roman"/>
          <w:b/>
          <w:i w:val="false"/>
          <w:color w:val="000000"/>
          <w:sz w:val="22"/>
        </w:rPr>
        <w:t xml:space="preserve">(124E) </w:t>
      </w:r>
      <w:r>
        <w:rPr>
          <w:rFonts w:ascii="Times New Roman" w:hAnsi="Times New Roman"/>
          <w:b/>
          <w:i w:val="false"/>
          <w:color w:val="000000"/>
          <w:sz w:val="22"/>
        </w:rPr>
        <w:t xml:space="preserve">Requirements of a manufacturer. </w:t>
      </w:r>
    </w:p>
    <w:p>
      <w:pPr>
        <w:spacing w:before="0" w:after="0"/>
        <w:ind w:left="120"/>
        <w:jc w:val="both"/>
      </w:pPr>
      <w:r>
        <w:rPr>
          <w:rFonts w:ascii="Times New Roman" w:hAnsi="Times New Roman"/>
          <w:b/>
          <w:i w:val="false"/>
          <w:color w:val="000000"/>
          <w:sz w:val="22"/>
        </w:rPr>
        <w:t>154.49(1)</w:t>
      </w:r>
      <w:r>
        <w:rPr>
          <w:rFonts w:ascii="Times New Roman" w:hAnsi="Times New Roman"/>
          <w:b w:val="false"/>
          <w:i w:val="false"/>
          <w:color w:val="000000"/>
          <w:sz w:val="22"/>
        </w:rPr>
        <w:t> </w:t>
      </w:r>
      <w:r>
        <w:rPr>
          <w:rFonts w:ascii="Times New Roman" w:hAnsi="Times New Roman"/>
          <w:b w:val="false"/>
          <w:i/>
          <w:color w:val="000000"/>
          <w:sz w:val="22"/>
        </w:rPr>
        <w:t xml:space="preserve">Assuming costs. </w:t>
      </w:r>
      <w:r>
        <w:rPr>
          <w:rFonts w:ascii="Times New Roman" w:hAnsi="Times New Roman"/>
          <w:b w:val="false"/>
          <w:i w:val="false"/>
          <w:color w:val="000000"/>
          <w:sz w:val="22"/>
        </w:rPr>
        <w:t>A manufacturer shall assume the costs for all laboratory testing pertaining to verification studies on new products, the cost of standard testing protocols as outlined in a Laboratory Acceptance and Criteria Document and other tests as requested by the department. A manufacturer shall provide any necessary reference materials to the laboratory at no cost.</w:t>
      </w:r>
    </w:p>
    <w:p>
      <w:pPr>
        <w:spacing w:before="0" w:after="0"/>
        <w:ind w:left="120"/>
        <w:jc w:val="both"/>
      </w:pPr>
      <w:r>
        <w:rPr>
          <w:rFonts w:ascii="Times New Roman" w:hAnsi="Times New Roman"/>
          <w:b/>
          <w:i w:val="false"/>
          <w:color w:val="000000"/>
          <w:sz w:val="22"/>
        </w:rPr>
        <w:t>154.49(2)</w:t>
      </w:r>
      <w:r>
        <w:rPr>
          <w:rFonts w:ascii="Times New Roman" w:hAnsi="Times New Roman"/>
          <w:b w:val="false"/>
          <w:i w:val="false"/>
          <w:color w:val="000000"/>
          <w:sz w:val="22"/>
        </w:rPr>
        <w:t> </w:t>
      </w:r>
      <w:r>
        <w:rPr>
          <w:rFonts w:ascii="Times New Roman" w:hAnsi="Times New Roman"/>
          <w:b w:val="false"/>
          <w:i/>
          <w:color w:val="000000"/>
          <w:sz w:val="22"/>
        </w:rPr>
        <w:t xml:space="preserve">Obtaining approval for sampling protocols. </w:t>
      </w:r>
      <w:r>
        <w:rPr>
          <w:rFonts w:ascii="Times New Roman" w:hAnsi="Times New Roman"/>
          <w:b w:val="false"/>
          <w:i w:val="false"/>
          <w:color w:val="000000"/>
          <w:sz w:val="22"/>
        </w:rPr>
        <w:t>A manufacturer shall obtain approval from the department for the manufacturer’s sampling protocols prior to submitting samples for laboratory testing related to content and contamination.</w:t>
      </w:r>
    </w:p>
    <w:p>
      <w:pPr>
        <w:spacing w:before="0" w:after="0"/>
        <w:ind w:left="120"/>
        <w:jc w:val="both"/>
      </w:pPr>
      <w:r>
        <w:rPr>
          <w:rFonts w:ascii="Times New Roman" w:hAnsi="Times New Roman"/>
          <w:b/>
          <w:i w:val="false"/>
          <w:color w:val="000000"/>
          <w:sz w:val="22"/>
        </w:rPr>
        <w:t>154.49(3)</w:t>
      </w:r>
      <w:r>
        <w:rPr>
          <w:rFonts w:ascii="Times New Roman" w:hAnsi="Times New Roman"/>
          <w:b w:val="false"/>
          <w:i w:val="false"/>
          <w:color w:val="000000"/>
          <w:sz w:val="22"/>
        </w:rPr>
        <w:t> </w:t>
      </w:r>
      <w:r>
        <w:rPr>
          <w:rFonts w:ascii="Times New Roman" w:hAnsi="Times New Roman"/>
          <w:b w:val="false"/>
          <w:i/>
          <w:color w:val="000000"/>
          <w:sz w:val="22"/>
        </w:rPr>
        <w:t xml:space="preserve">Obtaining approval for stability-testing procedures. </w:t>
      </w:r>
      <w:r>
        <w:rPr>
          <w:rFonts w:ascii="Times New Roman" w:hAnsi="Times New Roman"/>
          <w:b w:val="false"/>
          <w:i w:val="false"/>
          <w:color w:val="000000"/>
          <w:sz w:val="22"/>
        </w:rPr>
        <w:t>A manufacturer shall obtain approval from the department for the manufacturer’s stability-testing procedures prior to submitting samples for laboratory testing related to stability testing and product-expiration-date studies.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641—154.50</w:t>
      </w:r>
      <w:r>
        <w:rPr>
          <w:rFonts w:ascii="Times New Roman" w:hAnsi="Times New Roman"/>
          <w:b/>
          <w:i w:val="false"/>
          <w:color w:val="000000"/>
          <w:sz w:val="22"/>
        </w:rPr>
        <w:t xml:space="preserve">(124E) </w:t>
      </w:r>
      <w:r>
        <w:rPr>
          <w:rFonts w:ascii="Times New Roman" w:hAnsi="Times New Roman"/>
          <w:b/>
          <w:i w:val="false"/>
          <w:color w:val="000000"/>
          <w:sz w:val="22"/>
        </w:rPr>
        <w:t xml:space="preserve">Content testing. </w:t>
      </w:r>
    </w:p>
    <w:p>
      <w:pPr>
        <w:spacing w:before="0" w:after="0"/>
        <w:ind w:left="120"/>
        <w:jc w:val="both"/>
      </w:pPr>
      <w:r>
        <w:rPr>
          <w:rFonts w:ascii="Times New Roman" w:hAnsi="Times New Roman"/>
          <w:b/>
          <w:i w:val="false"/>
          <w:color w:val="000000"/>
          <w:sz w:val="22"/>
        </w:rPr>
        <w:t>154.50(1)</w:t>
      </w:r>
      <w:r>
        <w:rPr>
          <w:rFonts w:ascii="Times New Roman" w:hAnsi="Times New Roman"/>
          <w:b w:val="false"/>
          <w:i w:val="false"/>
          <w:color w:val="000000"/>
          <w:sz w:val="22"/>
        </w:rPr>
        <w:t> </w:t>
      </w:r>
      <w:r>
        <w:rPr>
          <w:rFonts w:ascii="Times New Roman" w:hAnsi="Times New Roman"/>
          <w:b w:val="false"/>
          <w:i/>
          <w:color w:val="000000"/>
          <w:sz w:val="22"/>
        </w:rPr>
        <w:t xml:space="preserve">Cannabinoids.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For each unique lot of medical cannabidiol, and if asked to do so by a requester for other medical cannabis goods, a laboratory shall, at minimum, test for and report measurements for the following cannabinoid analytes: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THC;</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THCA;</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CBD;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CBDA.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laboratory shall report that the primary sample passed or failed THC and CBD potency testing according to guidance in the Laboratory Acceptance and Criteria Document described in subrule </w:t>
      </w:r>
      <w:hyperlink r:id="rId70">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For each cannabinoid analyte test, a laboratory shall issue a certificate of analysis that contains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Concentrations of cannabinoid analytes in mg/ml for liquids and mg/g for solids, or other measures approved by the department.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Whether the primary sample passed or failed the test in accordance with paragraph </w:t>
      </w:r>
      <w:hyperlink r:id="rId71">
        <w:r>
          <w:rPr>
            <w:rStyle w:val="Hyperlink"/>
            <w:rFonts w:ascii="Times New Roman" w:hAnsi="Times New Roman"/>
            <w:b w:val="false"/>
            <w:i w:val="false"/>
            <w:color w:val="000000"/>
            <w:sz w:val="22"/>
          </w:rPr>
          <w:t>154.50(1)</w:t>
        </w:r>
      </w:hyperlink>
      <w:r>
        <w:rPr>
          <w:rFonts w:ascii="Times New Roman" w:hAnsi="Times New Roman"/>
          <w:b w:val="false"/>
          <w:i/>
          <w:color w:val="000000"/>
          <w:sz w:val="22"/>
        </w:rPr>
        <w:t>“b.”</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laboratory may test for and provide test results for additional cannabinoid analytes if asked to do so by a requester.</w:t>
      </w:r>
    </w:p>
    <w:p>
      <w:pPr>
        <w:spacing w:before="0" w:after="0"/>
        <w:ind w:left="120"/>
        <w:jc w:val="both"/>
      </w:pPr>
      <w:r>
        <w:rPr>
          <w:rFonts w:ascii="Times New Roman" w:hAnsi="Times New Roman"/>
          <w:b/>
          <w:i w:val="false"/>
          <w:color w:val="000000"/>
          <w:sz w:val="22"/>
        </w:rPr>
        <w:t>154.50(2)</w:t>
      </w:r>
      <w:r>
        <w:rPr>
          <w:rFonts w:ascii="Times New Roman" w:hAnsi="Times New Roman"/>
          <w:b w:val="false"/>
          <w:i w:val="false"/>
          <w:color w:val="000000"/>
          <w:sz w:val="22"/>
        </w:rPr>
        <w:t> </w:t>
      </w:r>
      <w:r>
        <w:rPr>
          <w:rFonts w:ascii="Times New Roman" w:hAnsi="Times New Roman"/>
          <w:b w:val="false"/>
          <w:i/>
          <w:color w:val="000000"/>
          <w:sz w:val="22"/>
        </w:rPr>
        <w:t xml:space="preserve">Contaminants testing.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For each unique lot of medical cannabidiol, unless otherwise referenced in the laboratory testing requirements and acceptance criteria document described in subrule </w:t>
      </w:r>
      <w:hyperlink r:id="rId72">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 a laboratory shall conduct contaminants testing for the following analytes: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Residual solvents and processing chemicals.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Pesticides.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Microbiological impurities.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Heavy metals.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laboratory may test and provide test results for additional contaminants if asked to do so by a requestor.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department shall provide a list of contaminants for which primary samples are to be tested with corresponding action levels on the department’s website (</w:t>
      </w:r>
      <w:hyperlink r:id="rId73">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For each contaminant for which a laboratory tests, the laboratory shall report that the primary sample passed the testing if the concentration of contaminant is at or below the action level approved by the department.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For each contaminant for which a laboratory tests, the laboratory shall report that the primary sample failed the testing if the concentration of contaminants is above the action level approved by the department.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If a laboratory is using gas chromatography-mass spectrometry instrumentation to analyze primary samples for contaminants and the laboratory determines that a primary sample contains contaminants or chemical analytes that are not included in the department-approved list of required tests, the laboratory shall attempt to achieve tentative identification and semiquantitative results of the contaminant analytes.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The laboratory may test for and provide test results for additional contaminants or processing chemicals if asked to do so by a requester.</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For each primary sample tested, a laboratory shall issue a certificate of analysis that contains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name and concentration of each contaminant for which the primary sample was tested.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concentrations shall be listed in parts per million (ppm) or other units as determined by the department.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laboratory shall report a result of “detected but not quantified” for any contaminant that falls below the LOQ, has a signal-to-noise ratio of greater than 3:1, and meets identification criteria.</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Whether the primary sample passed or failed the test in accordance with paragraphs </w:t>
      </w:r>
      <w:hyperlink r:id="rId74">
        <w:r>
          <w:rPr>
            <w:rStyle w:val="Hyperlink"/>
            <w:rFonts w:ascii="Times New Roman" w:hAnsi="Times New Roman"/>
            <w:b w:val="false"/>
            <w:i w:val="false"/>
            <w:color w:val="000000"/>
            <w:sz w:val="22"/>
          </w:rPr>
          <w:t>154.50(2)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names and amounts of any additional contaminants identified by the laboratory.</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If the primary sample fails testing for residual solvents and processing chemicals, the lot fails laboratory testing.</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When a laboratory identifies additional contaminants in a primary sample, the laboratory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Notify the department of the additional contaminants and the amounts detected, if applicable.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Refrain from issuing a final certificate of analysis until given approval to do so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641—154.51</w:t>
      </w:r>
      <w:r>
        <w:rPr>
          <w:rFonts w:ascii="Times New Roman" w:hAnsi="Times New Roman"/>
          <w:b/>
          <w:i w:val="false"/>
          <w:color w:val="000000"/>
          <w:sz w:val="22"/>
        </w:rPr>
        <w:t xml:space="preserve">(124E)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i w:val="false"/>
          <w:color w:val="000000"/>
          <w:sz w:val="22"/>
        </w:rPr>
        <w:t>154.51(1)</w:t>
      </w:r>
      <w:r>
        <w:rPr>
          <w:rFonts w:ascii="Times New Roman" w:hAnsi="Times New Roman"/>
          <w:b w:val="false"/>
          <w:i w:val="false"/>
          <w:color w:val="000000"/>
          <w:sz w:val="22"/>
        </w:rPr>
        <w:t> </w:t>
      </w:r>
      <w:r>
        <w:rPr>
          <w:rFonts w:ascii="Times New Roman" w:hAnsi="Times New Roman"/>
          <w:b w:val="false"/>
          <w:i/>
          <w:color w:val="000000"/>
          <w:sz w:val="22"/>
        </w:rPr>
        <w:t xml:space="preserve">Reporting test results. </w:t>
      </w:r>
      <w:r>
        <w:rPr>
          <w:rFonts w:ascii="Times New Roman" w:hAnsi="Times New Roman"/>
          <w:b w:val="false"/>
          <w:i w:val="false"/>
          <w:color w:val="000000"/>
          <w:sz w:val="22"/>
        </w:rPr>
        <w:t>The laboratory shall generate a certificate of analysis for each primary sample that it tests and make the certificate of analysis available to the manufacturer and the department.</w:t>
      </w:r>
    </w:p>
    <w:p>
      <w:pPr>
        <w:spacing w:before="0" w:after="0"/>
        <w:ind w:left="120"/>
        <w:jc w:val="both"/>
      </w:pPr>
      <w:r>
        <w:rPr>
          <w:rFonts w:ascii="Times New Roman" w:hAnsi="Times New Roman"/>
          <w:b/>
          <w:i w:val="false"/>
          <w:color w:val="000000"/>
          <w:sz w:val="22"/>
        </w:rPr>
        <w:t>154.51(2)</w:t>
      </w:r>
      <w:r>
        <w:rPr>
          <w:rFonts w:ascii="Times New Roman" w:hAnsi="Times New Roman"/>
          <w:b w:val="false"/>
          <w:i w:val="false"/>
          <w:color w:val="000000"/>
          <w:sz w:val="22"/>
        </w:rPr>
        <w:t> </w:t>
      </w:r>
      <w:r>
        <w:rPr>
          <w:rFonts w:ascii="Times New Roman" w:hAnsi="Times New Roman"/>
          <w:b w:val="false"/>
          <w:i/>
          <w:color w:val="000000"/>
          <w:sz w:val="22"/>
        </w:rPr>
        <w:t xml:space="preserve">Tentatively identified analytes. </w:t>
      </w:r>
      <w:r>
        <w:rPr>
          <w:rFonts w:ascii="Times New Roman" w:hAnsi="Times New Roman"/>
          <w:b w:val="false"/>
          <w:i w:val="false"/>
          <w:color w:val="000000"/>
          <w:sz w:val="22"/>
        </w:rPr>
        <w:t>A laboratory shall report on the certificate of analysis any tentatively identified analytes detected during the analysis of the primary sample. When a laboratory identifies additional analytes in a primary sample, the laboratory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Notify the department of the additional analytes detected.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Refrain from issuing a final certificate of analysis until given approval to do so by the department.</w:t>
      </w:r>
    </w:p>
    <w:p>
      <w:pPr>
        <w:spacing w:before="0" w:after="0"/>
        <w:ind w:left="120"/>
        <w:jc w:val="both"/>
      </w:pPr>
      <w:r>
        <w:rPr>
          <w:rFonts w:ascii="Times New Roman" w:hAnsi="Times New Roman"/>
          <w:b/>
          <w:i w:val="false"/>
          <w:color w:val="000000"/>
          <w:sz w:val="22"/>
        </w:rPr>
        <w:t>154.51(3)</w:t>
      </w:r>
      <w:r>
        <w:rPr>
          <w:rFonts w:ascii="Times New Roman" w:hAnsi="Times New Roman"/>
          <w:b w:val="false"/>
          <w:i w:val="false"/>
          <w:color w:val="000000"/>
          <w:sz w:val="22"/>
        </w:rPr>
        <w:t> </w:t>
      </w:r>
      <w:r>
        <w:rPr>
          <w:rFonts w:ascii="Times New Roman" w:hAnsi="Times New Roman"/>
          <w:b w:val="false"/>
          <w:i/>
          <w:color w:val="000000"/>
          <w:sz w:val="22"/>
        </w:rPr>
        <w:t xml:space="preserve">Additional reporting requirements. </w:t>
      </w:r>
      <w:r>
        <w:rPr>
          <w:rFonts w:ascii="Times New Roman" w:hAnsi="Times New Roman"/>
          <w:b w:val="false"/>
          <w:i w:val="false"/>
          <w:color w:val="000000"/>
          <w:sz w:val="22"/>
        </w:rPr>
        <w:t xml:space="preserve">In addition to the requirements described in rule </w:t>
      </w:r>
      <w:hyperlink r:id="rId75">
        <w:r>
          <w:rPr>
            <w:rStyle w:val="Hyperlink"/>
            <w:rFonts w:ascii="Times New Roman" w:hAnsi="Times New Roman"/>
            <w:b w:val="false"/>
            <w:i w:val="false"/>
            <w:color w:val="000000"/>
            <w:sz w:val="22"/>
          </w:rPr>
          <w:t>641—154.50</w:t>
        </w:r>
      </w:hyperlink>
      <w:r>
        <w:rPr>
          <w:rFonts w:ascii="Times New Roman" w:hAnsi="Times New Roman"/>
          <w:b w:val="false"/>
          <w:i w:val="false"/>
          <w:color w:val="000000"/>
          <w:sz w:val="22"/>
        </w:rPr>
        <w:t>(124E), the certificate of analysis shall contain, at a minimum,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All requirements of ISO/IEC 17025 dated 2017;</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Date of primary sample collection;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Date the primary sample was received by the laboratory;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Date of each analysis;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LOQ and action level for each analyte, as applicable;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Whether the primary sample and lot passed or failed laboratory testing; and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 signature by the laboratory quality officer or delegate and the date the certificate of analysis was validated as being accurate by the laboratory quality officer or delegate.</w:t>
      </w:r>
    </w:p>
    <w:p>
      <w:pPr>
        <w:spacing w:before="0" w:after="0"/>
        <w:ind w:left="120"/>
        <w:jc w:val="both"/>
      </w:pPr>
      <w:r>
        <w:rPr>
          <w:rFonts w:ascii="Times New Roman" w:hAnsi="Times New Roman"/>
          <w:b/>
          <w:i w:val="false"/>
          <w:color w:val="000000"/>
          <w:sz w:val="22"/>
        </w:rPr>
        <w:t>154.51(4)</w:t>
      </w:r>
      <w:r>
        <w:rPr>
          <w:rFonts w:ascii="Times New Roman" w:hAnsi="Times New Roman"/>
          <w:b w:val="false"/>
          <w:i w:val="false"/>
          <w:color w:val="000000"/>
          <w:sz w:val="22"/>
        </w:rPr>
        <w:t> </w:t>
      </w:r>
      <w:r>
        <w:rPr>
          <w:rFonts w:ascii="Times New Roman" w:hAnsi="Times New Roman"/>
          <w:b w:val="false"/>
          <w:i/>
          <w:color w:val="000000"/>
          <w:sz w:val="22"/>
        </w:rPr>
        <w:t xml:space="preserve">Measurements.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Any test result that is not covered under the laboratory’s ISO/IEC 17025 scope of accreditation shall be clearly identified on the certificate of analysis.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Measurements below a method’s limit of detection shall be reported as “&lt;” (less than) or “not detected” and reference the reportable limit. The reporting of zero concentration is not permitted.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Measurements greater than or equal to LOD but less than LOQ shall be reported as “detected but not quantified.”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number of significant figures reported shall reflect the precision of the analysis.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641—154.52</w:t>
      </w:r>
      <w:r>
        <w:rPr>
          <w:rFonts w:ascii="Times New Roman" w:hAnsi="Times New Roman"/>
          <w:b/>
          <w:i w:val="false"/>
          <w:color w:val="000000"/>
          <w:sz w:val="22"/>
        </w:rPr>
        <w:t xml:space="preserve">(124E) </w:t>
      </w:r>
      <w:r>
        <w:rPr>
          <w:rFonts w:ascii="Times New Roman" w:hAnsi="Times New Roman"/>
          <w:b/>
          <w:i w:val="false"/>
          <w:color w:val="000000"/>
          <w:sz w:val="22"/>
        </w:rPr>
        <w:t xml:space="preserve">Recordkeeping requirements. </w:t>
      </w:r>
    </w:p>
    <w:p>
      <w:pPr>
        <w:spacing w:before="0" w:after="0"/>
        <w:ind w:left="120"/>
        <w:jc w:val="both"/>
      </w:pPr>
      <w:r>
        <w:rPr>
          <w:rFonts w:ascii="Times New Roman" w:hAnsi="Times New Roman"/>
          <w:b/>
          <w:i w:val="false"/>
          <w:color w:val="000000"/>
          <w:sz w:val="22"/>
        </w:rPr>
        <w:t>154.52(1)</w:t>
      </w:r>
      <w:r>
        <w:rPr>
          <w:rFonts w:ascii="Times New Roman" w:hAnsi="Times New Roman"/>
          <w:b w:val="false"/>
          <w:i w:val="false"/>
          <w:color w:val="000000"/>
          <w:sz w:val="22"/>
        </w:rPr>
        <w:t> </w:t>
      </w:r>
      <w:r>
        <w:rPr>
          <w:rFonts w:ascii="Times New Roman" w:hAnsi="Times New Roman"/>
          <w:b w:val="false"/>
          <w:i/>
          <w:color w:val="000000"/>
          <w:sz w:val="22"/>
        </w:rPr>
        <w:t xml:space="preserve">Data package. </w:t>
      </w:r>
      <w:r>
        <w:rPr>
          <w:rFonts w:ascii="Times New Roman" w:hAnsi="Times New Roman"/>
          <w:b w:val="false"/>
          <w:i w:val="false"/>
          <w:color w:val="000000"/>
          <w:sz w:val="22"/>
        </w:rPr>
        <w:t>A laboratory shall create a data package for each analytical batch of primary samples that the laboratory analyzes. The data package shall contain at minimum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and address of the laboratory that performed the analytical procedures;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names, functions, and signatures (electronic or handwritten) of the laboratory personnel who performed the primary sample preparation, analyzed the primary samples, and reviewed and approved the data;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All primary sample and analytical batch quality control sample results;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Raw data for each primary sample analyzed;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Instrument raw data, if any was produced;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Instrument test method with parameters;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Instrument tune report, if one was created;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All instrument standard calibration data;</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Test-method worksheets or forms used for primary sample identification, characterization, and calculations, including chromatograms, sample-preparation worksheets, and final datasheets;</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The quality control report with worksheets, forms, or copies of laboratory notebook pages containing pertinent information related to the identification and traceability of all reagents, reference materials, and standards used for analysis;</w:t>
      </w:r>
    </w:p>
    <w:p>
      <w:pPr>
        <w:spacing w:before="0" w:after="0"/>
        <w:ind w:left="120"/>
        <w:jc w:val="left"/>
      </w:pPr>
      <w:r>
        <w:rPr>
          <w:rFonts w:ascii="Times New Roman" w:hAnsi="Times New Roman"/>
          <w:b w:val="false"/>
          <w:i/>
          <w:color w:val="000000"/>
          <w:sz w:val="22"/>
        </w:rPr>
        <w:t>k.</w:t>
      </w:r>
    </w:p>
    <w:p>
      <w:pPr>
        <w:spacing w:before="0" w:after="0"/>
        <w:ind w:left="0"/>
        <w:jc w:val="both"/>
      </w:pPr>
      <w:r>
        <w:rPr>
          <w:rFonts w:ascii="Times New Roman" w:hAnsi="Times New Roman"/>
          <w:b w:val="false"/>
          <w:i w:val="false"/>
          <w:color w:val="000000"/>
          <w:sz w:val="22"/>
        </w:rPr>
        <w:t>The analytical batch sample sequence;</w:t>
      </w:r>
    </w:p>
    <w:p>
      <w:pPr>
        <w:spacing w:before="0" w:after="0"/>
        <w:ind w:left="120"/>
        <w:jc w:val="left"/>
      </w:pPr>
      <w:r>
        <w:rPr>
          <w:rFonts w:ascii="Times New Roman" w:hAnsi="Times New Roman"/>
          <w:b w:val="false"/>
          <w:i/>
          <w:color w:val="000000"/>
          <w:sz w:val="22"/>
        </w:rPr>
        <w:t>l.</w:t>
      </w:r>
    </w:p>
    <w:p>
      <w:pPr>
        <w:spacing w:before="0" w:after="0"/>
        <w:ind w:left="0"/>
        <w:jc w:val="both"/>
      </w:pPr>
      <w:r>
        <w:rPr>
          <w:rFonts w:ascii="Times New Roman" w:hAnsi="Times New Roman"/>
          <w:b w:val="false"/>
          <w:i w:val="false"/>
          <w:color w:val="000000"/>
          <w:sz w:val="22"/>
        </w:rPr>
        <w:t>The field sample log; and</w:t>
      </w:r>
    </w:p>
    <w:p>
      <w:pPr>
        <w:spacing w:before="0" w:after="0"/>
        <w:ind w:left="120"/>
        <w:jc w:val="left"/>
      </w:pPr>
      <w:r>
        <w:rPr>
          <w:rFonts w:ascii="Times New Roman" w:hAnsi="Times New Roman"/>
          <w:b w:val="false"/>
          <w:i/>
          <w:color w:val="000000"/>
          <w:sz w:val="22"/>
        </w:rPr>
        <w:t>m.</w:t>
      </w:r>
    </w:p>
    <w:p>
      <w:pPr>
        <w:spacing w:before="0" w:after="0"/>
        <w:ind w:left="0"/>
        <w:jc w:val="both"/>
      </w:pPr>
      <w:r>
        <w:rPr>
          <w:rFonts w:ascii="Times New Roman" w:hAnsi="Times New Roman"/>
          <w:b w:val="false"/>
          <w:i w:val="false"/>
          <w:color w:val="000000"/>
          <w:sz w:val="22"/>
        </w:rPr>
        <w:t>The chain-of-custody form.</w:t>
      </w:r>
    </w:p>
    <w:p>
      <w:pPr>
        <w:spacing w:before="0" w:after="0"/>
        <w:ind w:left="120"/>
        <w:jc w:val="both"/>
      </w:pPr>
      <w:r>
        <w:rPr>
          <w:rFonts w:ascii="Times New Roman" w:hAnsi="Times New Roman"/>
          <w:b/>
          <w:i w:val="false"/>
          <w:color w:val="000000"/>
          <w:sz w:val="22"/>
        </w:rPr>
        <w:t>154.52(2)</w:t>
      </w:r>
      <w:r>
        <w:rPr>
          <w:rFonts w:ascii="Times New Roman" w:hAnsi="Times New Roman"/>
          <w:b w:val="false"/>
          <w:i w:val="false"/>
          <w:color w:val="000000"/>
          <w:sz w:val="22"/>
        </w:rPr>
        <w:t> </w:t>
      </w:r>
      <w:r>
        <w:rPr>
          <w:rFonts w:ascii="Times New Roman" w:hAnsi="Times New Roman"/>
          <w:b w:val="false"/>
          <w:i/>
          <w:color w:val="000000"/>
          <w:sz w:val="22"/>
        </w:rPr>
        <w:t xml:space="preserve">Review of data package. </w:t>
      </w:r>
      <w:r>
        <w:rPr>
          <w:rFonts w:ascii="Times New Roman" w:hAnsi="Times New Roman"/>
          <w:b w:val="false"/>
          <w:i w:val="false"/>
          <w:color w:val="000000"/>
          <w:sz w:val="22"/>
        </w:rPr>
        <w:t>After the laboratory has compiled a data package, an individual at the laboratory who was not previously involved in the creation of the data package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Assess the analytical results for technical correctness and completeness;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Verify that the results of each analysis carried out by the laboratory are reported accurately, clearly, unambiguously, and objectively;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Verify that the measurements can be traced back;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Approve the measurement results by signing and dating the data package prior to release of the certificate of analysis by the laboratory.</w:t>
      </w:r>
    </w:p>
    <w:p>
      <w:pPr>
        <w:spacing w:before="0" w:after="0"/>
        <w:ind w:left="120"/>
        <w:jc w:val="both"/>
      </w:pPr>
      <w:r>
        <w:rPr>
          <w:rFonts w:ascii="Times New Roman" w:hAnsi="Times New Roman"/>
          <w:b/>
          <w:i w:val="false"/>
          <w:color w:val="000000"/>
          <w:sz w:val="22"/>
        </w:rPr>
        <w:t>154.52(3)</w:t>
      </w:r>
      <w:r>
        <w:rPr>
          <w:rFonts w:ascii="Times New Roman" w:hAnsi="Times New Roman"/>
          <w:b w:val="false"/>
          <w:i w:val="false"/>
          <w:color w:val="000000"/>
          <w:sz w:val="22"/>
        </w:rPr>
        <w:t> </w:t>
      </w:r>
      <w:r>
        <w:rPr>
          <w:rFonts w:ascii="Times New Roman" w:hAnsi="Times New Roman"/>
          <w:b w:val="false"/>
          <w:i/>
          <w:color w:val="000000"/>
          <w:sz w:val="22"/>
        </w:rPr>
        <w:t xml:space="preserve">Data package record retention. </w:t>
      </w:r>
      <w:r>
        <w:rPr>
          <w:rFonts w:ascii="Times New Roman" w:hAnsi="Times New Roman"/>
          <w:b w:val="false"/>
          <w:i w:val="false"/>
          <w:color w:val="000000"/>
          <w:sz w:val="22"/>
        </w:rPr>
        <w:t>The entire data package shall be stored by a laboratory for a minimum of five years and shall be made available upon request by the department or the requester of the laboratory testing.</w:t>
      </w:r>
    </w:p>
    <w:p>
      <w:pPr>
        <w:spacing w:before="0" w:after="0"/>
        <w:ind w:left="120"/>
        <w:jc w:val="both"/>
      </w:pPr>
      <w:r>
        <w:rPr>
          <w:rFonts w:ascii="Times New Roman" w:hAnsi="Times New Roman"/>
          <w:b/>
          <w:i w:val="false"/>
          <w:color w:val="000000"/>
          <w:sz w:val="22"/>
        </w:rPr>
        <w:t>154.52(4)</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 laboratory shall maintain all documents, forms, records, and standard operating procedures associated with the testing of medical cannabidiol.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laboratory shall maintain analytical testing laboratory records in such a manner that the analyst, the date the analysis was performed, the approver of the certificate of analysis, the reviewer and approver of the data package, the test method, and the materials that were used can be determined by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Records shall be stored in such a way that the data may be readily retrieved when requested by the department.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All testing laboratory records shall be kept for a minimum of five years, unless otherwise noted in these rules.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department shall be allowed access to all electronic data, including standards records, calibration records, extraction logs, and laboratory notebooks.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laboratory shall keep and make available to the department the following records related to the testing of medical cannabidiol: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Personnel qualification, training, and competency documentation, including but not limited to résumés, training records, continuing education records, analytical proficiency testing records, and demonstration of competency records for laboratory work. These records shall be kept current.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Method verification and validation records, including method modification records, method detection limit and quantitation limit determination records, ongoing verification records such as proficiency test records and reference material analysis records.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Quality control and quality assurance records, including the laboratory’s quality assurance manual and control charts with control limits.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Chain-of-custody records, including chain-of-custody forms, field sample logs, sample-receipt records, sample-description records, sample-rejection records, laboratory information management system records, sample-storage records, sample-retention records, and disposal records.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Purchasing and supply records, equipment-services records, and other equipment records, including purchase requisition records, packing slips, supplier records, and certificates of analysis.</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Laboratory equipment installation records, maintenance records, and calibration records. These records shall include the date and name of the person performing the installation of, calibration of, or maintenance on the equipment, with a description of the work performed, maintenance logs, pipette calibration records, balance calibration records, working and reference mass calibration records, and daily verification-of-calibration records.</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Customer service records, including customer contracts, customer requests, certificates of analysis, customer transactions, customer feedback, records related to the handling of complaints and nonconformities, and corrective action pertaining to complaints.</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Nonconforming work and corrective action records, including corrective action, nonconformance, nonconformities resolved by correction, customer notification of nonconformities, internal investigations, implementation of corrective action, and resumption-of-work records.</w:t>
      </w:r>
    </w:p>
    <w:p>
      <w:pPr>
        <w:spacing w:before="0" w:after="0"/>
        <w:ind w:left="120"/>
        <w:jc w:val="left"/>
      </w:pPr>
      <w:r>
        <w:rPr>
          <w:rFonts w:ascii="Times New Roman" w:hAnsi="Times New Roman"/>
          <w:b w:val="false"/>
          <w:i w:val="false"/>
          <w:color w:val="000000"/>
          <w:sz w:val="22"/>
        </w:rPr>
        <w:t>(9)</w:t>
      </w:r>
    </w:p>
    <w:p>
      <w:pPr>
        <w:spacing w:before="0" w:after="0"/>
        <w:ind w:left="0"/>
        <w:jc w:val="both"/>
      </w:pPr>
      <w:r>
        <w:rPr>
          <w:rFonts w:ascii="Times New Roman" w:hAnsi="Times New Roman"/>
          <w:b w:val="false"/>
          <w:i w:val="false"/>
          <w:color w:val="000000"/>
          <w:sz w:val="22"/>
        </w:rPr>
        <w:t>Internal-audit and external-audit records, including audit checklists, standard operating procedures, and audit observation and findings reports. These records shall include the date and name of the person performing the audit.</w:t>
      </w:r>
    </w:p>
    <w:p>
      <w:pPr>
        <w:spacing w:before="0" w:after="0"/>
        <w:ind w:left="120"/>
        <w:jc w:val="left"/>
      </w:pPr>
      <w:r>
        <w:rPr>
          <w:rFonts w:ascii="Times New Roman" w:hAnsi="Times New Roman"/>
          <w:b w:val="false"/>
          <w:i w:val="false"/>
          <w:color w:val="000000"/>
          <w:sz w:val="22"/>
        </w:rPr>
        <w:t>(10)</w:t>
      </w:r>
    </w:p>
    <w:p>
      <w:pPr>
        <w:spacing w:before="0" w:after="0"/>
        <w:ind w:left="0"/>
        <w:jc w:val="both"/>
      </w:pPr>
      <w:r>
        <w:rPr>
          <w:rFonts w:ascii="Times New Roman" w:hAnsi="Times New Roman"/>
          <w:b w:val="false"/>
          <w:i w:val="false"/>
          <w:color w:val="000000"/>
          <w:sz w:val="22"/>
        </w:rPr>
        <w:t>Management review records, including technical data review reports and final management-review reports. These records shall include the review date and the name of the reviewer.</w:t>
      </w:r>
    </w:p>
    <w:p>
      <w:pPr>
        <w:spacing w:before="0" w:after="0"/>
        <w:ind w:left="120"/>
        <w:jc w:val="left"/>
      </w:pPr>
      <w:r>
        <w:rPr>
          <w:rFonts w:ascii="Times New Roman" w:hAnsi="Times New Roman"/>
          <w:b w:val="false"/>
          <w:i w:val="false"/>
          <w:color w:val="000000"/>
          <w:sz w:val="22"/>
        </w:rPr>
        <w:t>(11)</w:t>
      </w:r>
    </w:p>
    <w:p>
      <w:pPr>
        <w:spacing w:before="0" w:after="0"/>
        <w:ind w:left="0"/>
        <w:jc w:val="both"/>
      </w:pPr>
      <w:r>
        <w:rPr>
          <w:rFonts w:ascii="Times New Roman" w:hAnsi="Times New Roman"/>
          <w:b w:val="false"/>
          <w:i w:val="false"/>
          <w:color w:val="000000"/>
          <w:sz w:val="22"/>
        </w:rPr>
        <w:t>Laboratory data reports, data review, and data approval records, including instrument and equipment identification records, records with unique sample identifiers, analysts’ laboratory notebooks and logbooks, traceability records, test-method worksheets and forms, instrumentation-calibration data, and test-method raw data. These records shall include the analysis date and the name of the analyst.</w:t>
      </w:r>
    </w:p>
    <w:p>
      <w:pPr>
        <w:spacing w:before="0" w:after="0"/>
        <w:ind w:left="120"/>
        <w:jc w:val="left"/>
      </w:pPr>
      <w:r>
        <w:rPr>
          <w:rFonts w:ascii="Times New Roman" w:hAnsi="Times New Roman"/>
          <w:b w:val="false"/>
          <w:i w:val="false"/>
          <w:color w:val="000000"/>
          <w:sz w:val="22"/>
        </w:rPr>
        <w:t>(12)</w:t>
      </w:r>
    </w:p>
    <w:p>
      <w:pPr>
        <w:spacing w:before="0" w:after="0"/>
        <w:ind w:left="0"/>
        <w:jc w:val="both"/>
      </w:pPr>
      <w:r>
        <w:rPr>
          <w:rFonts w:ascii="Times New Roman" w:hAnsi="Times New Roman"/>
          <w:b w:val="false"/>
          <w:i w:val="false"/>
          <w:color w:val="000000"/>
          <w:sz w:val="22"/>
        </w:rPr>
        <w:t xml:space="preserve"> Proficiency testing records, including the proficiency test schedule, proficiency tests, data-review records, data-reporting records, nonconforming work and corrective actions, and quality control and quality assurance records related to proficiency testing.</w:t>
      </w:r>
    </w:p>
    <w:p>
      <w:pPr>
        <w:spacing w:before="0" w:after="0"/>
        <w:ind w:left="120"/>
        <w:jc w:val="left"/>
      </w:pPr>
      <w:r>
        <w:rPr>
          <w:rFonts w:ascii="Times New Roman" w:hAnsi="Times New Roman"/>
          <w:b w:val="false"/>
          <w:i w:val="false"/>
          <w:color w:val="000000"/>
          <w:sz w:val="22"/>
        </w:rPr>
        <w:t>(13)</w:t>
      </w:r>
    </w:p>
    <w:p>
      <w:pPr>
        <w:spacing w:before="0" w:after="0"/>
        <w:ind w:left="0"/>
        <w:jc w:val="both"/>
      </w:pPr>
      <w:r>
        <w:rPr>
          <w:rFonts w:ascii="Times New Roman" w:hAnsi="Times New Roman"/>
          <w:b w:val="false"/>
          <w:i w:val="false"/>
          <w:color w:val="000000"/>
          <w:sz w:val="22"/>
        </w:rPr>
        <w:t>Electronic data, backed up data, records regarding the protection of data, including unprocessed instrument output data files and processed quantitation output files, electronic data protocols and records, and authorized personnel records.</w:t>
      </w:r>
    </w:p>
    <w:p>
      <w:pPr>
        <w:spacing w:before="0" w:after="0"/>
        <w:ind w:left="120"/>
        <w:jc w:val="left"/>
      </w:pPr>
      <w:r>
        <w:rPr>
          <w:rFonts w:ascii="Times New Roman" w:hAnsi="Times New Roman"/>
          <w:b w:val="false"/>
          <w:i w:val="false"/>
          <w:color w:val="000000"/>
          <w:sz w:val="22"/>
        </w:rPr>
        <w:t>(14)</w:t>
      </w:r>
    </w:p>
    <w:p>
      <w:pPr>
        <w:spacing w:before="0" w:after="0"/>
        <w:ind w:left="0"/>
        <w:jc w:val="both"/>
      </w:pPr>
      <w:r>
        <w:rPr>
          <w:rFonts w:ascii="Times New Roman" w:hAnsi="Times New Roman"/>
          <w:b w:val="false"/>
          <w:i w:val="false"/>
          <w:color w:val="000000"/>
          <w:sz w:val="22"/>
        </w:rPr>
        <w:t>Security data, including laboratory-security records and laboratory-access records, surveillance-equipment records, and security-equipment records. These records shall be stored for at least one year.</w:t>
      </w:r>
    </w:p>
    <w:p>
      <w:pPr>
        <w:spacing w:before="0" w:after="0"/>
        <w:ind w:left="120"/>
        <w:jc w:val="left"/>
      </w:pPr>
      <w:r>
        <w:rPr>
          <w:rFonts w:ascii="Times New Roman" w:hAnsi="Times New Roman"/>
          <w:b w:val="false"/>
          <w:i w:val="false"/>
          <w:color w:val="000000"/>
          <w:sz w:val="22"/>
        </w:rPr>
        <w:t>(15)</w:t>
      </w:r>
    </w:p>
    <w:p>
      <w:pPr>
        <w:spacing w:before="0" w:after="0"/>
        <w:ind w:left="0"/>
        <w:jc w:val="both"/>
      </w:pPr>
      <w:r>
        <w:rPr>
          <w:rFonts w:ascii="Times New Roman" w:hAnsi="Times New Roman"/>
          <w:b w:val="false"/>
          <w:i w:val="false"/>
          <w:color w:val="000000"/>
          <w:sz w:val="22"/>
        </w:rPr>
        <w:t>Traceability, raw data, standards records, calibration records, extraction logs, reference materials records, analysts’ laboratory notebooks and logbooks, supplier records, and certificates of analysis, and all other data-related records.</w:t>
      </w:r>
    </w:p>
    <w:p>
      <w:pPr>
        <w:spacing w:before="0" w:after="0"/>
        <w:ind w:left="120"/>
        <w:jc w:val="left"/>
      </w:pPr>
      <w:r>
        <w:rPr>
          <w:rFonts w:ascii="Times New Roman" w:hAnsi="Times New Roman"/>
          <w:b w:val="false"/>
          <w:i w:val="false"/>
          <w:color w:val="000000"/>
          <w:sz w:val="22"/>
        </w:rPr>
        <w:t>(16)</w:t>
      </w:r>
    </w:p>
    <w:p>
      <w:pPr>
        <w:spacing w:before="0" w:after="0"/>
        <w:ind w:left="0"/>
        <w:jc w:val="both"/>
      </w:pPr>
      <w:r>
        <w:rPr>
          <w:rFonts w:ascii="Times New Roman" w:hAnsi="Times New Roman"/>
          <w:b w:val="false"/>
          <w:i w:val="false"/>
          <w:color w:val="000000"/>
          <w:sz w:val="22"/>
        </w:rPr>
        <w:t>Laboratory contamination and cleaning records, including autoclave records, acid-wash logs and records, and general laboratory-safety and chemical-hygiene protocols.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641—154.53</w:t>
      </w:r>
      <w:r>
        <w:rPr>
          <w:rFonts w:ascii="Times New Roman" w:hAnsi="Times New Roman"/>
          <w:b/>
          <w:i w:val="false"/>
          <w:color w:val="000000"/>
          <w:sz w:val="22"/>
        </w:rPr>
        <w:t xml:space="preserve">(124E) </w:t>
      </w:r>
      <w:r>
        <w:rPr>
          <w:rFonts w:ascii="Times New Roman" w:hAnsi="Times New Roman"/>
          <w:b/>
          <w:i w:val="false"/>
          <w:color w:val="000000"/>
          <w:sz w:val="22"/>
        </w:rPr>
        <w:t xml:space="preserve">Quality control. </w:t>
      </w:r>
      <w:r>
        <w:rPr>
          <w:rFonts w:ascii="Times New Roman" w:hAnsi="Times New Roman"/>
          <w:b w:val="false"/>
          <w:i w:val="false"/>
          <w:color w:val="000000"/>
          <w:sz w:val="22"/>
        </w:rPr>
        <w:t>The laboratory shall have quality control protocols that include the following elements:</w:t>
      </w:r>
    </w:p>
    <w:p>
      <w:pPr>
        <w:spacing w:before="0" w:after="0"/>
        <w:ind w:left="120"/>
        <w:jc w:val="both"/>
      </w:pPr>
      <w:r>
        <w:rPr>
          <w:rFonts w:ascii="Times New Roman" w:hAnsi="Times New Roman"/>
          <w:b/>
          <w:i w:val="false"/>
          <w:color w:val="000000"/>
          <w:sz w:val="22"/>
        </w:rPr>
        <w:t>154.53(1)</w:t>
      </w:r>
      <w:r>
        <w:rPr>
          <w:rFonts w:ascii="Times New Roman" w:hAnsi="Times New Roman"/>
          <w:b w:val="false"/>
          <w:i w:val="false"/>
          <w:color w:val="000000"/>
          <w:sz w:val="22"/>
        </w:rPr>
        <w:t> </w:t>
      </w:r>
      <w:r>
        <w:rPr>
          <w:rFonts w:ascii="Times New Roman" w:hAnsi="Times New Roman"/>
          <w:b w:val="false"/>
          <w:i/>
          <w:color w:val="000000"/>
          <w:sz w:val="22"/>
        </w:rPr>
        <w:t xml:space="preserve">Quality control samples required.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laboratory shall run quality control samples with every analytical batch of samples for chemical and microbiological analysis.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For microbiological analysis, the laboratory shall develop procedures for quality control requirements for each analytical batch of samples.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laboratory shall analyze the quality control samples in exactly the same manner as the test samples to validate the laboratory testing results.</w:t>
      </w:r>
    </w:p>
    <w:p>
      <w:pPr>
        <w:spacing w:before="0" w:after="0"/>
        <w:ind w:left="120"/>
        <w:jc w:val="both"/>
      </w:pPr>
      <w:r>
        <w:rPr>
          <w:rFonts w:ascii="Times New Roman" w:hAnsi="Times New Roman"/>
          <w:b/>
          <w:i w:val="false"/>
          <w:color w:val="000000"/>
          <w:sz w:val="22"/>
        </w:rPr>
        <w:t>154.53(2)</w:t>
      </w:r>
      <w:r>
        <w:rPr>
          <w:rFonts w:ascii="Times New Roman" w:hAnsi="Times New Roman"/>
          <w:b w:val="false"/>
          <w:i w:val="false"/>
          <w:color w:val="000000"/>
          <w:sz w:val="22"/>
        </w:rPr>
        <w:t> </w:t>
      </w:r>
      <w:r>
        <w:rPr>
          <w:rFonts w:ascii="Times New Roman" w:hAnsi="Times New Roman"/>
          <w:b w:val="false"/>
          <w:i/>
          <w:color w:val="000000"/>
          <w:sz w:val="22"/>
        </w:rPr>
        <w:t xml:space="preserve">Types of quality control samples. </w:t>
      </w:r>
      <w:r>
        <w:rPr>
          <w:rFonts w:ascii="Times New Roman" w:hAnsi="Times New Roman"/>
          <w:b w:val="false"/>
          <w:i w:val="false"/>
          <w:color w:val="000000"/>
          <w:sz w:val="22"/>
        </w:rPr>
        <w:t>At a minimum, a laboratory shall have the following quality control samples as part of every analytical batch tested for chemical analytes: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Negative control (method blank). A laboratory shall prepare and run at least one method blank sample with an analytical batch of samples along with and under the same conditions, including all sample preparation steps, as the other samples in the analytical batch, to demonstrate that the analytical process did not introduce contamination.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Positive control (laboratory control sample). A laboratory shall prepare and run at least one laboratory control sample with an analytical batch of samples along with and under the same conditions, including all sample preparation steps, as the other samples in the analytical batch.</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Matrix spike sample. A laboratory shall prepare and run one or more matrix spike samples for each analytical batch.</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laboratory shall calculate the percent recovery for quantitative chemical analysis by dividing the sample result by the expected result and multiplying that by 100. All quality control measures shall be assessed and evaluated on an ongoing basis, and quality control acceptance criteria shall be used. When necessary, the department may establish acceptance criteria on the department’s website (</w:t>
      </w:r>
      <w:hyperlink r:id="rId76">
        <w:r>
          <w:rPr>
            <w:rStyle w:val="Hyperlink"/>
            <w:rFonts w:ascii="Times New Roman" w:hAnsi="Times New Roman"/>
            <w:b w:val="false"/>
            <w:i w:val="false"/>
            <w:color w:val="000000"/>
            <w:sz w:val="22"/>
            <w:u w:val="single"/>
          </w:rPr>
          <w:t>hhs.iowa.gov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If quality control acceptance criteria are not acceptable, a laboratory shall investigate the cause, correct the problem, and rerun the analytical batch of samples. If the problem persists, the laboratory shall reprepare the samples and run the analysis again, if possible.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Field duplicate sample. A laboratory shall prepare and run a duplicate sample as described in the laboratory testing requirements and acceptance criteria document in subrule </w:t>
      </w:r>
      <w:hyperlink r:id="rId77">
        <w:r>
          <w:rPr>
            <w:rStyle w:val="Hyperlink"/>
            <w:rFonts w:ascii="Times New Roman" w:hAnsi="Times New Roman"/>
            <w:b w:val="false"/>
            <w:i w:val="false"/>
            <w:color w:val="000000"/>
            <w:sz w:val="22"/>
          </w:rPr>
          <w:t>154.47(1)</w:t>
        </w:r>
      </w:hyperlink>
      <w:r>
        <w:rPr>
          <w:rFonts w:ascii="Times New Roman" w:hAnsi="Times New Roman"/>
          <w:b w:val="false"/>
          <w:i w:val="false"/>
          <w:color w:val="000000"/>
          <w:sz w:val="22"/>
        </w:rPr>
        <w:t>. The acceptance criterion between the primary sample and the duplicate sample is less than or equal to 20 percent relative percent difference.</w:t>
      </w:r>
    </w:p>
    <w:p>
      <w:pPr>
        <w:spacing w:before="0" w:after="0"/>
        <w:ind w:left="120"/>
        <w:jc w:val="both"/>
      </w:pPr>
      <w:r>
        <w:rPr>
          <w:rFonts w:ascii="Times New Roman" w:hAnsi="Times New Roman"/>
          <w:b/>
          <w:i w:val="false"/>
          <w:color w:val="000000"/>
          <w:sz w:val="22"/>
        </w:rPr>
        <w:t>154.53(3)</w:t>
      </w:r>
      <w:r>
        <w:rPr>
          <w:rFonts w:ascii="Times New Roman" w:hAnsi="Times New Roman"/>
          <w:b w:val="false"/>
          <w:i w:val="false"/>
          <w:color w:val="000000"/>
          <w:sz w:val="22"/>
        </w:rPr>
        <w:t> </w:t>
      </w:r>
      <w:r>
        <w:rPr>
          <w:rFonts w:ascii="Times New Roman" w:hAnsi="Times New Roman"/>
          <w:b w:val="false"/>
          <w:i/>
          <w:color w:val="000000"/>
          <w:sz w:val="22"/>
        </w:rPr>
        <w:t xml:space="preserve">Certified reference material for chemical analysis. </w:t>
      </w:r>
      <w:r>
        <w:rPr>
          <w:rFonts w:ascii="Times New Roman" w:hAnsi="Times New Roman"/>
          <w:b w:val="false"/>
          <w:i w:val="false"/>
          <w:color w:val="000000"/>
          <w:sz w:val="22"/>
        </w:rPr>
        <w:t>The laboratory shall use a reference material for each analytical batch in accordance with the following standards: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reference material should be certified and obtained from an outside source, if possible. If a reference material is not available from an outside source, the laboratory shall make its own in-house reference material.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Reference material made in-house should be made from a different source of standards than the source from which the calibration standards are made.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test result for the reference material shall fall within the quality control acceptance criteria. If it does not, the laboratory shall document and correct the problem and run the analytical batch again.</w:t>
      </w:r>
    </w:p>
    <w:p>
      <w:pPr>
        <w:spacing w:before="0" w:after="0"/>
        <w:ind w:left="120"/>
        <w:jc w:val="both"/>
      </w:pPr>
      <w:r>
        <w:rPr>
          <w:rFonts w:ascii="Times New Roman" w:hAnsi="Times New Roman"/>
          <w:b/>
          <w:i w:val="false"/>
          <w:color w:val="000000"/>
          <w:sz w:val="22"/>
        </w:rPr>
        <w:t>154.53(4)</w:t>
      </w:r>
      <w:r>
        <w:rPr>
          <w:rFonts w:ascii="Times New Roman" w:hAnsi="Times New Roman"/>
          <w:b w:val="false"/>
          <w:i w:val="false"/>
          <w:color w:val="000000"/>
          <w:sz w:val="22"/>
        </w:rPr>
        <w:t> </w:t>
      </w:r>
      <w:r>
        <w:rPr>
          <w:rFonts w:ascii="Times New Roman" w:hAnsi="Times New Roman"/>
          <w:b w:val="false"/>
          <w:i/>
          <w:color w:val="000000"/>
          <w:sz w:val="22"/>
        </w:rPr>
        <w:t xml:space="preserve">Calibration standards. </w:t>
      </w:r>
      <w:r>
        <w:rPr>
          <w:rFonts w:ascii="Times New Roman" w:hAnsi="Times New Roman"/>
          <w:b w:val="false"/>
          <w:i w:val="false"/>
          <w:color w:val="000000"/>
          <w:sz w:val="22"/>
        </w:rPr>
        <w:t>The laboratory shall prepare calibration standards by serially diluting a standard solution to produce working standards used for calibration of an instrument and quantitation of analyses in samples.</w:t>
      </w:r>
    </w:p>
    <w:p>
      <w:pPr>
        <w:spacing w:before="0" w:after="0"/>
        <w:ind w:left="120"/>
        <w:jc w:val="both"/>
      </w:pPr>
      <w:r>
        <w:rPr>
          <w:rFonts w:ascii="Times New Roman" w:hAnsi="Times New Roman"/>
          <w:b/>
          <w:i w:val="false"/>
          <w:color w:val="000000"/>
          <w:sz w:val="22"/>
        </w:rPr>
        <w:t>154.53(5)</w:t>
      </w:r>
      <w:r>
        <w:rPr>
          <w:rFonts w:ascii="Times New Roman" w:hAnsi="Times New Roman"/>
          <w:b w:val="false"/>
          <w:i w:val="false"/>
          <w:color w:val="000000"/>
          <w:sz w:val="22"/>
        </w:rPr>
        <w:t> </w:t>
      </w:r>
      <w:r>
        <w:rPr>
          <w:rFonts w:ascii="Times New Roman" w:hAnsi="Times New Roman"/>
          <w:b w:val="false"/>
          <w:i/>
          <w:color w:val="000000"/>
          <w:sz w:val="22"/>
        </w:rPr>
        <w:t xml:space="preserve">Quality control-sample report. </w:t>
      </w:r>
      <w:r>
        <w:rPr>
          <w:rFonts w:ascii="Times New Roman" w:hAnsi="Times New Roman"/>
          <w:b w:val="false"/>
          <w:i w:val="false"/>
          <w:color w:val="000000"/>
          <w:sz w:val="22"/>
        </w:rPr>
        <w:t>A laboratory shall generate a quality control-sample report that includes quality control parameters and measurements, analysis date, and type of matrix.</w:t>
      </w:r>
    </w:p>
    <w:p>
      <w:pPr>
        <w:spacing w:before="0" w:after="0"/>
        <w:ind w:left="120"/>
        <w:jc w:val="both"/>
      </w:pPr>
      <w:r>
        <w:rPr>
          <w:rFonts w:ascii="Times New Roman" w:hAnsi="Times New Roman"/>
          <w:b/>
          <w:i w:val="false"/>
          <w:color w:val="000000"/>
          <w:sz w:val="22"/>
        </w:rPr>
        <w:t>154.53(6)</w:t>
      </w:r>
      <w:r>
        <w:rPr>
          <w:rFonts w:ascii="Times New Roman" w:hAnsi="Times New Roman"/>
          <w:b w:val="false"/>
          <w:i w:val="false"/>
          <w:color w:val="000000"/>
          <w:sz w:val="22"/>
        </w:rPr>
        <w:t> </w:t>
      </w:r>
      <w:r>
        <w:rPr>
          <w:rFonts w:ascii="Times New Roman" w:hAnsi="Times New Roman"/>
          <w:b w:val="false"/>
          <w:i/>
          <w:color w:val="000000"/>
          <w:sz w:val="22"/>
        </w:rPr>
        <w:t xml:space="preserve">Limit-of-detection and limit-of-quantitation calculations. </w:t>
      </w:r>
      <w:r>
        <w:rPr>
          <w:rFonts w:ascii="Times New Roman" w:hAnsi="Times New Roman"/>
          <w:b w:val="false"/>
          <w:i w:val="false"/>
          <w:color w:val="000000"/>
          <w:sz w:val="22"/>
        </w:rPr>
        <w:t>For chemical method analysis, a laboratory shall calculate the limit of detection and limit of quantitation using generally accepted methodology.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641—154.54</w:t>
      </w:r>
      <w:r>
        <w:rPr>
          <w:rFonts w:ascii="Times New Roman" w:hAnsi="Times New Roman"/>
          <w:b/>
          <w:i w:val="false"/>
          <w:color w:val="000000"/>
          <w:sz w:val="22"/>
        </w:rPr>
        <w:t xml:space="preserve">(124E) </w:t>
      </w:r>
      <w:r>
        <w:rPr>
          <w:rFonts w:ascii="Times New Roman" w:hAnsi="Times New Roman"/>
          <w:b/>
          <w:i w:val="false"/>
          <w:color w:val="000000"/>
          <w:sz w:val="22"/>
        </w:rPr>
        <w:t xml:space="preserve">Security requirements. </w:t>
      </w:r>
    </w:p>
    <w:p>
      <w:pPr>
        <w:spacing w:before="0" w:after="0"/>
        <w:ind w:left="120"/>
        <w:jc w:val="both"/>
      </w:pPr>
      <w:r>
        <w:rPr>
          <w:rFonts w:ascii="Times New Roman" w:hAnsi="Times New Roman"/>
          <w:b/>
          <w:i w:val="false"/>
          <w:color w:val="000000"/>
          <w:sz w:val="22"/>
        </w:rPr>
        <w:t>154.54(1)</w:t>
      </w:r>
      <w:r>
        <w:rPr>
          <w:rFonts w:ascii="Times New Roman" w:hAnsi="Times New Roman"/>
          <w:b w:val="false"/>
          <w:i w:val="false"/>
          <w:color w:val="000000"/>
          <w:sz w:val="22"/>
        </w:rPr>
        <w:t> </w:t>
      </w:r>
      <w:r>
        <w:rPr>
          <w:rFonts w:ascii="Times New Roman" w:hAnsi="Times New Roman"/>
          <w:b w:val="false"/>
          <w:i/>
          <w:color w:val="000000"/>
          <w:sz w:val="22"/>
        </w:rPr>
        <w:t xml:space="preserve">Security policy requirement. </w:t>
      </w:r>
      <w:r>
        <w:rPr>
          <w:rFonts w:ascii="Times New Roman" w:hAnsi="Times New Roman"/>
          <w:b w:val="false"/>
          <w:i w:val="false"/>
          <w:color w:val="000000"/>
          <w:sz w:val="22"/>
        </w:rPr>
        <w:t>A laboratory shall maintain a security policy to prevent the loss, theft, or diversion of medical cannabidiol samples. The security policy shall apply to all staff and visitors at a laboratory facility.</w:t>
      </w:r>
    </w:p>
    <w:p>
      <w:pPr>
        <w:spacing w:before="0" w:after="0"/>
        <w:ind w:left="120"/>
        <w:jc w:val="both"/>
      </w:pPr>
      <w:r>
        <w:rPr>
          <w:rFonts w:ascii="Times New Roman" w:hAnsi="Times New Roman"/>
          <w:b/>
          <w:i w:val="false"/>
          <w:color w:val="000000"/>
          <w:sz w:val="22"/>
        </w:rPr>
        <w:t>154.54(2)</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w:t>
      </w:r>
      <w:r>
        <w:rPr>
          <w:rFonts w:ascii="Times New Roman" w:hAnsi="Times New Roman"/>
          <w:b w:val="false"/>
          <w:i w:val="false"/>
          <w:color w:val="000000"/>
          <w:sz w:val="22"/>
        </w:rPr>
        <w:t xml:space="preserve">A laboratory shall limit entrance to all restricted areas by completing all of the following: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controlled access system shall do all of the following: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Limit access to authorized individuals;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Maintain a log of individuals with approved access, including dates of approvals and revocations;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Track when personnel enter and exit the laboratory;</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Track times of personnel movement between restricted access areas;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Store data for retrieval for a minimum of one year;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Remain operable in the event of a power failure.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laboratory shall promptly, but no later than five business days after receipt of request, submit stored controlled access system data to the department.</w:t>
      </w:r>
    </w:p>
    <w:p>
      <w:pPr>
        <w:spacing w:before="0" w:after="0"/>
        <w:ind w:left="120"/>
        <w:jc w:val="both"/>
      </w:pPr>
      <w:r>
        <w:rPr>
          <w:rFonts w:ascii="Times New Roman" w:hAnsi="Times New Roman"/>
          <w:b/>
          <w:i w:val="false"/>
          <w:color w:val="000000"/>
          <w:sz w:val="22"/>
        </w:rPr>
        <w:t>154.54(3)</w:t>
      </w:r>
      <w:r>
        <w:rPr>
          <w:rFonts w:ascii="Times New Roman" w:hAnsi="Times New Roman"/>
          <w:b w:val="false"/>
          <w:i w:val="false"/>
          <w:color w:val="000000"/>
          <w:sz w:val="22"/>
        </w:rPr>
        <w:t> </w:t>
      </w:r>
      <w:r>
        <w:rPr>
          <w:rFonts w:ascii="Times New Roman" w:hAnsi="Times New Roman"/>
          <w:b w:val="false"/>
          <w:i/>
          <w:color w:val="000000"/>
          <w:sz w:val="22"/>
        </w:rPr>
        <w:t xml:space="preserve">Personnel identification system. </w:t>
      </w:r>
      <w:r>
        <w:rPr>
          <w:rFonts w:ascii="Times New Roman" w:hAnsi="Times New Roman"/>
          <w:b w:val="false"/>
          <w:i w:val="false"/>
          <w:color w:val="000000"/>
          <w:sz w:val="22"/>
        </w:rPr>
        <w:t>A laboratory shall use a personnel identification system that controls and monitors individual employee access to restricted access areas within the laboratory facility.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employee identification card shall contain: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name of the employee;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date of issuance and expiration;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An alphanumeric identification number that is unique to the employee;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photographic image of the employee.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laboratory employee shall keep the identification card visible at all times when the employee is in the laboratory.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Upon termination or resignation of an employee, a laboratory shall immediately: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Revoke the employee’s access to the laboratory;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Obtain and destroy the employee’s identification card, if possible.</w:t>
      </w:r>
    </w:p>
    <w:p>
      <w:pPr>
        <w:spacing w:before="0" w:after="0"/>
        <w:ind w:left="120"/>
        <w:jc w:val="both"/>
      </w:pPr>
      <w:r>
        <w:rPr>
          <w:rFonts w:ascii="Times New Roman" w:hAnsi="Times New Roman"/>
          <w:b/>
          <w:i w:val="false"/>
          <w:color w:val="000000"/>
          <w:sz w:val="22"/>
        </w:rPr>
        <w:t>154.54(4)</w:t>
      </w:r>
      <w:r>
        <w:rPr>
          <w:rFonts w:ascii="Times New Roman" w:hAnsi="Times New Roman"/>
          <w:b w:val="false"/>
          <w:i w:val="false"/>
          <w:color w:val="000000"/>
          <w:sz w:val="22"/>
        </w:rPr>
        <w:t> </w:t>
      </w:r>
      <w:r>
        <w:rPr>
          <w:rFonts w:ascii="Times New Roman" w:hAnsi="Times New Roman"/>
          <w:b w:val="false"/>
          <w:i/>
          <w:color w:val="000000"/>
          <w:sz w:val="22"/>
        </w:rPr>
        <w:t xml:space="preserve">Video monitoring and surveillance. </w:t>
      </w:r>
      <w:r>
        <w:rPr>
          <w:rFonts w:ascii="Times New Roman" w:hAnsi="Times New Roman"/>
          <w:b w:val="false"/>
          <w:i w:val="false"/>
          <w:color w:val="000000"/>
          <w:sz w:val="22"/>
        </w:rPr>
        <w:t>A laboratory shall operate and maintain in good working order a video surveillance system for its premises that operates 24 hours per day, seven days a week, and visually records all areas where medical cannabis goods are stored or tested.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Camera specifications. </w:t>
      </w:r>
      <w:r>
        <w:rPr>
          <w:rFonts w:ascii="Times New Roman" w:hAnsi="Times New Roman"/>
          <w:b w:val="false"/>
          <w:i w:val="false"/>
          <w:color w:val="000000"/>
          <w:sz w:val="22"/>
        </w:rPr>
        <w:t>Cameras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Capture clear and certain identification of any person entering or exiting a restricted access area containing medical cannabis goods;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Produce a clear, color still photograph live or from a recording;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Have an embedded date-and-time stamp that is synchronized to the recording and does not obscure the picture;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Continue to operate during a power outage.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Video recording specifications. </w:t>
      </w:r>
      <w:r>
        <w:rPr>
          <w:rFonts w:ascii="Times New Roman" w:hAnsi="Times New Roman"/>
          <w:b w:val="false"/>
          <w:i w:val="false"/>
          <w:color w:val="000000"/>
          <w:sz w:val="22"/>
        </w:rPr>
        <w:t>Video recording equipment shall: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Export still images in an industry standard image format, such as .jpg, .bmp, or .gif.</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Archive in a format that ensures authentication and guarantees that the recorded image has not been altered.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Save exported video in an industry standard file format that can be played on a standard computer operating system.</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All recordings shall be erased or destroyed at the end of the retention period and prior to disposal of any storage medium.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 laboratory shall maintain all security system equipment and recordings in a secure location to prevent theft, loss, destruction, corruption, and alterations.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Retention. </w:t>
      </w:r>
      <w:r>
        <w:rPr>
          <w:rFonts w:ascii="Times New Roman" w:hAnsi="Times New Roman"/>
          <w:b w:val="false"/>
          <w:i w:val="false"/>
          <w:color w:val="000000"/>
          <w:sz w:val="22"/>
        </w:rPr>
        <w:t>A laboratory shall ensure that 24-hour recordings from all video cameras are: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Available for viewing by the department upon request;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Retained for a minimum of 60 days;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Maintained free of alteration or corruption;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Retained longer, as needed, if a laboratory is given actual notice of a pending criminal, civil, or administrative investigation, or other legal proceeding for which the recording may contain relevant information.</w:t>
      </w:r>
    </w:p>
    <w:p>
      <w:pPr>
        <w:spacing w:before="0" w:after="0"/>
        <w:ind w:left="120"/>
        <w:jc w:val="both"/>
      </w:pPr>
      <w:r>
        <w:rPr>
          <w:rFonts w:ascii="Times New Roman" w:hAnsi="Times New Roman"/>
          <w:b/>
          <w:i w:val="false"/>
          <w:color w:val="000000"/>
          <w:sz w:val="22"/>
        </w:rPr>
        <w:t>154.54(5)</w:t>
      </w:r>
      <w:r>
        <w:rPr>
          <w:rFonts w:ascii="Times New Roman" w:hAnsi="Times New Roman"/>
          <w:b w:val="false"/>
          <w:i w:val="false"/>
          <w:color w:val="000000"/>
          <w:sz w:val="22"/>
        </w:rPr>
        <w:t> </w:t>
      </w:r>
      <w:r>
        <w:rPr>
          <w:rFonts w:ascii="Times New Roman" w:hAnsi="Times New Roman"/>
          <w:b w:val="false"/>
          <w:i/>
          <w:color w:val="000000"/>
          <w:sz w:val="22"/>
        </w:rPr>
        <w:t xml:space="preserve">Chain-of-custody policy and procedures. </w:t>
      </w:r>
      <w:r>
        <w:rPr>
          <w:rFonts w:ascii="Times New Roman" w:hAnsi="Times New Roman"/>
          <w:b w:val="false"/>
          <w:i w:val="false"/>
          <w:color w:val="000000"/>
          <w:sz w:val="22"/>
        </w:rPr>
        <w:t>A laboratory shall maintain a current chain-of-custody policy and procedures. The policy should ensure that: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Chain of custody is maintained for samples that may have probable forensic evidentiary value;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Annual training is available for individuals who will be involved with testing medical cannabis goods.</w:t>
      </w:r>
    </w:p>
    <w:p>
      <w:pPr>
        <w:spacing w:before="0" w:after="0"/>
        <w:ind w:left="120"/>
        <w:jc w:val="both"/>
      </w:pPr>
      <w:r>
        <w:rPr>
          <w:rFonts w:ascii="Times New Roman" w:hAnsi="Times New Roman"/>
          <w:b/>
          <w:i w:val="false"/>
          <w:color w:val="000000"/>
          <w:sz w:val="22"/>
        </w:rPr>
        <w:t>154.54(6)</w:t>
      </w:r>
      <w:r>
        <w:rPr>
          <w:rFonts w:ascii="Times New Roman" w:hAnsi="Times New Roman"/>
          <w:b w:val="false"/>
          <w:i w:val="false"/>
          <w:color w:val="000000"/>
          <w:sz w:val="22"/>
        </w:rPr>
        <w:t> </w:t>
      </w:r>
      <w:r>
        <w:rPr>
          <w:rFonts w:ascii="Times New Roman" w:hAnsi="Times New Roman"/>
          <w:b w:val="false"/>
          <w:i/>
          <w:color w:val="000000"/>
          <w:sz w:val="22"/>
        </w:rPr>
        <w:t xml:space="preserve">Information technology systems security. </w:t>
      </w:r>
      <w:r>
        <w:rPr>
          <w:rFonts w:ascii="Times New Roman" w:hAnsi="Times New Roman"/>
          <w:b w:val="false"/>
          <w:i w:val="false"/>
          <w:color w:val="000000"/>
          <w:sz w:val="22"/>
        </w:rPr>
        <w:t>A laboratory shall maintain information technology systems protection by employing comprehensive security controls that include security firewall protection, antivirus protection, network and desktop password protection, and security patch management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1640C</w:t>
      </w:r>
      <w:r>
        <w:rPr>
          <w:rFonts w:ascii="Times New Roman" w:hAnsi="Times New Roman"/>
          <w:b w:val="false"/>
          <w:i w:val="false"/>
          <w:color w:val="000000"/>
          <w:sz w:val="21"/>
        </w:rPr>
        <w:t xml:space="preserve"> (Notice ARC 1571C, IAB 8/6/14)</w:t>
      </w:r>
      <w:r>
        <w:rPr>
          <w:rFonts w:ascii="Times New Roman" w:hAnsi="Times New Roman"/>
          <w:b w:val="false"/>
          <w:i w:val="false"/>
          <w:color w:val="000000"/>
          <w:sz w:val="21"/>
        </w:rPr>
        <w:t>, IAB 10/1/14, effective 1/30/15]</w:t>
      </w:r>
    </w:p>
    <w:p>
      <w:pPr>
        <w:spacing w:before="0" w:after="0"/>
        <w:ind w:left="120"/>
        <w:jc w:val="center"/>
      </w:pPr>
      <w:r>
        <w:rPr>
          <w:rFonts w:ascii="Times New Roman" w:hAnsi="Times New Roman"/>
          <w:b w:val="false"/>
          <w:i w:val="false"/>
          <w:color w:val="000000"/>
          <w:sz w:val="21"/>
        </w:rPr>
        <w:t>[Filed Emergency ARC 3150C, IAB 7/5/17, effective 6/13/17]</w:t>
      </w:r>
    </w:p>
    <w:p>
      <w:pPr>
        <w:spacing w:before="0" w:after="0"/>
        <w:ind w:left="120"/>
        <w:jc w:val="center"/>
      </w:pPr>
      <w:r>
        <w:rPr>
          <w:rFonts w:ascii="Times New Roman" w:hAnsi="Times New Roman"/>
          <w:b w:val="false"/>
          <w:i w:val="false"/>
          <w:color w:val="000000"/>
          <w:sz w:val="21"/>
        </w:rPr>
        <w:t>[Filed ARC 3606C</w:t>
      </w:r>
      <w:r>
        <w:rPr>
          <w:rFonts w:ascii="Times New Roman" w:hAnsi="Times New Roman"/>
          <w:b w:val="false"/>
          <w:i w:val="false"/>
          <w:color w:val="000000"/>
          <w:sz w:val="21"/>
        </w:rPr>
        <w:t xml:space="preserve"> (Notice ARC 3420C, IAB 10/25/17)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3836C</w:t>
      </w:r>
      <w:r>
        <w:rPr>
          <w:rFonts w:ascii="Times New Roman" w:hAnsi="Times New Roman"/>
          <w:b w:val="false"/>
          <w:i w:val="false"/>
          <w:color w:val="000000"/>
          <w:sz w:val="21"/>
        </w:rPr>
        <w:t xml:space="preserve"> (Notice ARC 3707C,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4078C</w:t>
      </w:r>
      <w:r>
        <w:rPr>
          <w:rFonts w:ascii="Times New Roman" w:hAnsi="Times New Roman"/>
          <w:b w:val="false"/>
          <w:i w:val="false"/>
          <w:color w:val="000000"/>
          <w:sz w:val="21"/>
        </w:rPr>
        <w:t xml:space="preserve"> (Notice ARC 3899C, IAB 7/18/18)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4399C</w:t>
      </w:r>
      <w:r>
        <w:rPr>
          <w:rFonts w:ascii="Times New Roman" w:hAnsi="Times New Roman"/>
          <w:b w:val="false"/>
          <w:i w:val="false"/>
          <w:color w:val="000000"/>
          <w:sz w:val="21"/>
        </w:rPr>
        <w:t xml:space="preserve"> (Notice ARC 4240C, IAB 1/16/19)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4489C</w:t>
      </w:r>
      <w:r>
        <w:rPr>
          <w:rFonts w:ascii="Times New Roman" w:hAnsi="Times New Roman"/>
          <w:b w:val="false"/>
          <w:i w:val="false"/>
          <w:color w:val="000000"/>
          <w:sz w:val="21"/>
        </w:rPr>
        <w:t xml:space="preserve"> (Notice ARC 4363C, IAB 3/27/19)</w:t>
      </w:r>
      <w:r>
        <w:rPr>
          <w:rFonts w:ascii="Times New Roman" w:hAnsi="Times New Roman"/>
          <w:b w:val="false"/>
          <w:i w:val="false"/>
          <w:color w:val="000000"/>
          <w:sz w:val="21"/>
        </w:rPr>
        <w:t>, IAB 6/5/19, effective 7/10/19]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4928C</w:t>
      </w:r>
      <w:r>
        <w:rPr>
          <w:rFonts w:ascii="Times New Roman" w:hAnsi="Times New Roman"/>
          <w:b w:val="false"/>
          <w:i w:val="false"/>
          <w:color w:val="000000"/>
          <w:sz w:val="21"/>
        </w:rPr>
        <w:t xml:space="preserve"> (Notice ARC 4772C, IAB 11/20/19)</w:t>
      </w:r>
      <w:r>
        <w:rPr>
          <w:rFonts w:ascii="Times New Roman" w:hAnsi="Times New Roman"/>
          <w:b w:val="false"/>
          <w:i w:val="false"/>
          <w:color w:val="000000"/>
          <w:sz w:val="21"/>
        </w:rPr>
        <w:t>, IAB 2/12/20, effective 6/1/20]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5200C</w:t>
      </w:r>
      <w:r>
        <w:rPr>
          <w:rFonts w:ascii="Times New Roman" w:hAnsi="Times New Roman"/>
          <w:b w:val="false"/>
          <w:i w:val="false"/>
          <w:color w:val="000000"/>
          <w:sz w:val="21"/>
        </w:rPr>
        <w:t xml:space="preserve"> (Notice ARC 5082C,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6343C</w:t>
      </w:r>
      <w:r>
        <w:rPr>
          <w:rFonts w:ascii="Times New Roman" w:hAnsi="Times New Roman"/>
          <w:b w:val="false"/>
          <w:i w:val="false"/>
          <w:color w:val="000000"/>
          <w:sz w:val="21"/>
        </w:rPr>
        <w:t xml:space="preserve"> (Notice ARC 6159C, IAB 1/26/22)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8124C</w:t>
      </w:r>
      <w:r>
        <w:rPr>
          <w:rFonts w:ascii="Times New Roman" w:hAnsi="Times New Roman"/>
          <w:b w:val="false"/>
          <w:i w:val="false"/>
          <w:color w:val="000000"/>
          <w:sz w:val="21"/>
        </w:rPr>
        <w:t xml:space="preserve"> (Notice ARC 7360C, IAB 1/24/24)</w:t>
      </w:r>
      <w:r>
        <w:rPr>
          <w:rFonts w:ascii="Times New Roman" w:hAnsi="Times New Roman"/>
          <w:b w:val="false"/>
          <w:i w:val="false"/>
          <w:color w:val="000000"/>
          <w:sz w:val="21"/>
        </w:rPr>
        <w:t>, IAB 7/10/24, effective 8/14/24]</w:t>
      </w:r>
    </w:p>
    <w:p>
      <w:pPr>
        <w:numPr>
          <w:ilvl w:val="0"/>
          <w:numId w:val="11"/>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July 10, 2019, effective date of Items 1, 4, 7, 10, 11, 12, 13, 15, 21, 22, and 24 of </w:t>
      </w:r>
      <w:r>
        <w:rPr>
          <w:rFonts w:ascii="Times New Roman" w:hAnsi="Times New Roman"/>
          <w:b/>
          <w:i w:val="false"/>
          <w:color w:val="000000"/>
          <w:sz w:val="16"/>
        </w:rPr>
        <w:t>ARC 4489C</w:t>
      </w:r>
      <w:r>
        <w:rPr>
          <w:rFonts w:ascii="Times New Roman" w:hAnsi="Times New Roman"/>
          <w:b w:val="false"/>
          <w:i w:val="false"/>
          <w:color w:val="000000"/>
          <w:sz w:val="16"/>
        </w:rPr>
        <w:t xml:space="preserve"> delayed until the adjournment of the 2020 session of the General Assembly by the Administrative Rules Review Committee at its meeting held July 9, 2019.</w:t>
      </w:r>
    </w:p>
    <w:p>
      <w:pPr>
        <w:spacing w:before="0" w:after="0"/>
        <w:ind w:left="720"/>
        <w:jc w:val="both"/>
      </w:pPr>
    </w:p>
    <w:p>
      <w:pPr>
        <w:numPr>
          <w:ilvl w:val="0"/>
          <w:numId w:val="11"/>
        </w:numPr>
        <w:pBdr>
          <w:bottom w:space="2"/>
        </w:pBdr>
        <w:spacing w:before="0" w:after="0"/>
        <w:jc w:val="both"/>
      </w:pPr>
    </w:p>
    <w:p>
      <w:pPr>
        <w:spacing w:before="0" w:after="0"/>
        <w:ind w:left="720"/>
        <w:jc w:val="both"/>
      </w:pPr>
      <w:r>
        <w:rPr>
          <w:rFonts w:ascii="Times New Roman" w:hAnsi="Times New Roman"/>
          <w:b w:val="false"/>
          <w:i w:val="false"/>
          <w:color w:val="000000"/>
          <w:sz w:val="16"/>
        </w:rPr>
        <w:t xml:space="preserve">The effective date of </w:t>
      </w:r>
      <w:r>
        <w:rPr>
          <w:rFonts w:ascii="Times New Roman" w:hAnsi="Times New Roman"/>
          <w:b/>
          <w:i w:val="false"/>
          <w:color w:val="000000"/>
          <w:sz w:val="16"/>
        </w:rPr>
        <w:t>ARC 4928C</w:t>
      </w:r>
      <w:r>
        <w:rPr>
          <w:rFonts w:ascii="Times New Roman" w:hAnsi="Times New Roman"/>
          <w:b w:val="false"/>
          <w:i w:val="false"/>
          <w:color w:val="000000"/>
          <w:sz w:val="16"/>
        </w:rPr>
        <w:t xml:space="preserve"> was corrected to June 1, 2020, in the March 11, 2020, Iowa Administrative Bulletin.</w:t>
      </w:r>
    </w:p>
    <w:p>
      <w:pPr>
        <w:spacing w:before="0" w:after="0"/>
        <w:ind w:left="7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lvl w:ilvl="1">
      <w:start w:val="1"/>
      <w:numFmt w:val="none"/>
      <w:lvlText w:val="%2."/>
      <w:lvlJc w:val="left"/>
      <w:pPr>
        <w:ind w:left="400" w:hanging="360"/>
      </w:pPr>
    </w:lvl>
  </w:abstractNum>
  <w:abstractNum w:abstractNumId="5">
    <w:multiLevelType w:val="multilevel"/>
    <w:lvl w:ilvl="0">
      <w:start w:val="1"/>
      <w:numFmt w:val="none"/>
      <w:lvlText w:val="%1."/>
      <w:lvlJc w:val="left"/>
      <w:pPr>
        <w:ind w:left="400" w:hanging="360"/>
      </w:pPr>
    </w:lvl>
  </w:abstractNum>
  <w:abstractNum w:abstractNumId="6">
    <w:multiLevelType w:val="multilevel"/>
    <w:lvl w:ilvl="0">
      <w:start w:val="1"/>
      <w:numFmt w:val="none"/>
      <w:lvlText w:val="%1."/>
      <w:lvlJc w:val="left"/>
      <w:pPr>
        <w:ind w:left="400" w:hanging="360"/>
      </w:pPr>
    </w:lvl>
    <w:lvl w:ilvl="1">
      <w:start w:val="1"/>
      <w:numFmt w:val="none"/>
      <w:lvlText w:val="%2."/>
      <w:lvlJc w:val="left"/>
      <w:pPr>
        <w:ind w:left="400" w:hanging="360"/>
      </w:pPr>
    </w:lvl>
  </w:abstractNum>
  <w:abstractNum w:abstractNumId="7">
    <w:multiLevelType w:val="multilevel"/>
    <w:lvl w:ilvl="0">
      <w:start w:val="1"/>
      <w:numFmt w:val="none"/>
      <w:lvlText w:val="%1."/>
      <w:lvlJc w:val="left"/>
      <w:pPr>
        <w:ind w:left="400" w:hanging="360"/>
      </w:pPr>
    </w:lvl>
  </w:abstractNum>
  <w:abstractNum w:abstractNumId="8">
    <w:multiLevelType w:val="multilevel"/>
    <w:lvl w:ilvl="0">
      <w:start w:val="1"/>
      <w:numFmt w:val="none"/>
      <w:lvlText w:val="%1."/>
      <w:lvlJc w:val="left"/>
      <w:pPr>
        <w:ind w:left="400" w:hanging="360"/>
      </w:pPr>
    </w:lvl>
  </w:abstractNum>
  <w:abstractNum w:abstractNumId="9">
    <w:multiLevelType w:val="multilevel"/>
    <w:lvl w:ilvl="0">
      <w:start w:val="1"/>
      <w:numFmt w:val="none"/>
      <w:lvlText w:val="%1."/>
      <w:lvlJc w:val="left"/>
      <w:pPr>
        <w:ind w:left="400" w:hanging="360"/>
      </w:pPr>
    </w:lvl>
  </w:abstractNum>
  <w:abstractNum w:abstractNumId="10">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 w:numId="7">
    <w:abstractNumId w:val="6"/>
    <w:lvlOverride w:ilvl="1">
      <w:startOverride w:val="1"/>
      <w:lvl w:ilvl="1">
        <w:numFmt w:val="none"/>
        <w:lvlText w:val="%2."/>
        <w:pPr>
          <w:ind w:left="400" w:hanging="360"/>
        </w:pPr>
      </w:lvl>
    </w:lvlOverride>
  </w:num>
  <w:num w:numId="8">
    <w:abstractNumId w:val="7"/>
  </w:num>
  <w:num w:numId="9">
    <w:abstractNumId w:val="8"/>
  </w:num>
  <w:num w:numId="10">
    <w:abstractNumId w:val="9"/>
  </w:num>
  <w:num w:numId="11">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04.pdf" Type="http://schemas.openxmlformats.org/officeDocument/2006/relationships/hyperlink" Id="rId4"/>
    <Relationship TargetMode="External" Target="https://www.legis.iowa.gov/docs/ico/chapter/141A.pdf" Type="http://schemas.openxmlformats.org/officeDocument/2006/relationships/hyperlink" Id="rId5"/>
    <Relationship TargetMode="External" Target="https://www.legis.iowa.gov/docs/ico/chapter/124E.pdf" Type="http://schemas.openxmlformats.org/officeDocument/2006/relationships/hyperlink" Id="rId6"/>
    <Relationship TargetMode="External" Target="https://www.legis.iowa.gov/docs/iac/rule/653.13.15.pdf" Type="http://schemas.openxmlformats.org/officeDocument/2006/relationships/hyperlink" Id="rId7"/>
    <Relationship TargetMode="External" Target="https://www.legis.iowa.gov/docs/ico/chapter/124E.pdf" Type="http://schemas.openxmlformats.org/officeDocument/2006/relationships/hyperlink" Id="rId8"/>
    <Relationship TargetMode="External" Target="https://www.legis.iowa.gov/docs/ico/chapter/124E.pdf" Type="http://schemas.openxmlformats.org/officeDocument/2006/relationships/hyperlink" Id="rId9"/>
    <Relationship TargetMode="External" Target="https://www.legis.iowa.gov/docs/ico/chapter/124E.pdf" Type="http://schemas.openxmlformats.org/officeDocument/2006/relationships/hyperlink" Id="rId10"/>
    <Relationship TargetMode="External" Target="https://www.legis.iowa.gov/docs/ico/chapter/124E.pdf" Type="http://schemas.openxmlformats.org/officeDocument/2006/relationships/hyperlink" Id="rId11"/>
    <Relationship TargetMode="External" Target="https://www.legis.iowa.gov/docs/ico/chapter/124E.pdf" Type="http://schemas.openxmlformats.org/officeDocument/2006/relationships/hyperlink" Id="rId12"/>
    <Relationship TargetMode="External" Target="https://www.legis.iowa.gov/docs/ico/chapter/124E.pdf" Type="http://schemas.openxmlformats.org/officeDocument/2006/relationships/hyperlink" Id="rId13"/>
    <Relationship TargetMode="External" Target="https://www.legis.iowa.gov/docs/ico/chapter/124E.pdf" Type="http://schemas.openxmlformats.org/officeDocument/2006/relationships/hyperlink" Id="rId14"/>
    <Relationship TargetMode="External" Target="https://www.legis.iowa.gov/docs/ico/chapter/124E.pdf" Type="http://schemas.openxmlformats.org/officeDocument/2006/relationships/hyperlink" Id="rId15"/>
    <Relationship TargetMode="External" Target="https://www.legis.iowa.gov/docs/ico/chapter/124E.pdf" Type="http://schemas.openxmlformats.org/officeDocument/2006/relationships/hyperlink" Id="rId16"/>
    <Relationship TargetMode="External" Target="https://www.legis.iowa.gov/docs/iac/rule/661.277.2.pdf" Type="http://schemas.openxmlformats.org/officeDocument/2006/relationships/hyperlink" Id="rId17"/>
    <Relationship TargetMode="External" Target="https://www.legis.iowa.gov/docs/iac/chapter/641.154.pdf" Type="http://schemas.openxmlformats.org/officeDocument/2006/relationships/hyperlink" Id="rId18"/>
    <Relationship TargetMode="External" Target="https://www.legis.iowa.gov/docs/ico/chapter/124E.pdf" Type="http://schemas.openxmlformats.org/officeDocument/2006/relationships/hyperlink" Id="rId19"/>
    <Relationship TargetMode="External" Target="https://www.legis.iowa.gov/docs/ico/chapter/124E.pdf" Type="http://schemas.openxmlformats.org/officeDocument/2006/relationships/hyperlink" Id="rId20"/>
    <Relationship TargetMode="External" Target="https://www.legis.iowa.gov/docs/ico/chapter/124E.pdf" Type="http://schemas.openxmlformats.org/officeDocument/2006/relationships/hyperlink" Id="rId21"/>
    <Relationship TargetMode="External" Target="https://www.legis.iowa.gov/docs/ico/chapter/124E.pdf" Type="http://schemas.openxmlformats.org/officeDocument/2006/relationships/hyperlink" Id="rId22"/>
    <Relationship TargetMode="External" Target="https://www.legis.iowa.gov/docs/ico/chapter/124E.pdf" Type="http://schemas.openxmlformats.org/officeDocument/2006/relationships/hyperlink" Id="rId23"/>
    <Relationship TargetMode="External" Target="https://www.legis.iowa.gov/docs/ico/chapter/124E.pdf" Type="http://schemas.openxmlformats.org/officeDocument/2006/relationships/hyperlink" Id="rId24"/>
    <Relationship TargetMode="External" Target="https://www.legis.iowa.gov/docs/ico/chapter/124E.pdf" Type="http://schemas.openxmlformats.org/officeDocument/2006/relationships/hyperlink" Id="rId25"/>
    <Relationship TargetMode="External" Target="https://www.legis.iowa.gov/docs/ico/chapter/124E.pdf" Type="http://schemas.openxmlformats.org/officeDocument/2006/relationships/hyperlink" Id="rId26"/>
    <Relationship TargetMode="External" Target="https://www.legis.iowa.gov/docs/ico/chapter/124E.pdf" Type="http://schemas.openxmlformats.org/officeDocument/2006/relationships/hyperlink" Id="rId27"/>
    <Relationship TargetMode="External" Target="https://www.legis.iowa.gov/docs/ico/chapter/124E.pdf" Type="http://schemas.openxmlformats.org/officeDocument/2006/relationships/hyperlink" Id="rId28"/>
    <Relationship TargetMode="External" Target="https://www.legis.iowa.gov/docs/ico/chapter/124E.pdf" Type="http://schemas.openxmlformats.org/officeDocument/2006/relationships/hyperlink" Id="rId29"/>
    <Relationship TargetMode="External" Target="https://www.legis.iowa.gov/docs/iac/chapter/441.7.pdf" Type="http://schemas.openxmlformats.org/officeDocument/2006/relationships/hyperlink" Id="rId30"/>
    <Relationship TargetMode="External" Target="https://www.legis.iowa.gov/docs/iac/rule/641.154.5.pdf" Type="http://schemas.openxmlformats.org/officeDocument/2006/relationships/hyperlink" Id="rId31"/>
    <Relationship TargetMode="External" Target="https://www.legis.iowa.gov/docs/ico/chapter/124E.pdf" Type="http://schemas.openxmlformats.org/officeDocument/2006/relationships/hyperlink" Id="rId32"/>
    <Relationship TargetMode="External" Target="https://www.legis.iowa.gov/docs/ico/chapter/124E.pdf" Type="http://schemas.openxmlformats.org/officeDocument/2006/relationships/hyperlink" Id="rId33"/>
    <Relationship TargetMode="External" Target="https://www.legis.iowa.gov/docs/ico/chapter/124E.pdf" Type="http://schemas.openxmlformats.org/officeDocument/2006/relationships/hyperlink" Id="rId34"/>
    <Relationship TargetMode="External" Target="https://www.legis.iowa.gov/docs/ico/chapter/124E.pdf" Type="http://schemas.openxmlformats.org/officeDocument/2006/relationships/hyperlink" Id="rId35"/>
    <Relationship TargetMode="External" Target="https://www.legis.iowa.gov/docs/ico/chapter/123.pdf" Type="http://schemas.openxmlformats.org/officeDocument/2006/relationships/hyperlink" Id="rId36"/>
    <Relationship TargetMode="External" Target="https://www.legis.iowa.gov/docs/ico/chapter/321J.pdf" Type="http://schemas.openxmlformats.org/officeDocument/2006/relationships/hyperlink" Id="rId37"/>
    <Relationship TargetMode="External" Target="https://www.legis.iowa.gov/docs/ico/chapter/124E.pdf" Type="http://schemas.openxmlformats.org/officeDocument/2006/relationships/hyperlink" Id="rId38"/>
    <Relationship TargetMode="External" Target="https://www.legis.iowa.gov/docs/ico/chapter/124E.pdf" Type="http://schemas.openxmlformats.org/officeDocument/2006/relationships/hyperlink" Id="rId39"/>
    <Relationship TargetMode="External" Target="https://www.legis.iowa.gov/docs/ico/chapter/8.pdf" Type="http://schemas.openxmlformats.org/officeDocument/2006/relationships/hyperlink" Id="rId40"/>
    <Relationship TargetMode="External" Target="https://www.legis.iowa.gov/docs/ico/chapter/124E.pdf" Type="http://schemas.openxmlformats.org/officeDocument/2006/relationships/hyperlink" Id="rId41"/>
    <Relationship TargetMode="External" Target="https://www.legis.iowa.gov/docs/ico/chapter/124E.pdf" Type="http://schemas.openxmlformats.org/officeDocument/2006/relationships/hyperlink" Id="rId42"/>
    <Relationship TargetMode="External" Target="https://www.legis.iowa.gov/docs/ico/chapter/124E.pdf" Type="http://schemas.openxmlformats.org/officeDocument/2006/relationships/hyperlink" Id="rId43"/>
    <Relationship TargetMode="External" Target="https://www.legis.iowa.gov/docs/ico/chapter/17A.pdf" Type="http://schemas.openxmlformats.org/officeDocument/2006/relationships/hyperlink" Id="rId44"/>
    <Relationship TargetMode="External" Target="https://www.legis.iowa.gov/docs/ico/chapter/17A.pdf" Type="http://schemas.openxmlformats.org/officeDocument/2006/relationships/hyperlink" Id="rId45"/>
    <Relationship TargetMode="External" Target="https://www.legis.iowa.gov/docs/iac/chapter/441.7.pdf" Type="http://schemas.openxmlformats.org/officeDocument/2006/relationships/hyperlink" Id="rId46"/>
    <Relationship TargetMode="External" Target="https://www.legis.iowa.gov/docs/ico/chapter/124E.pdf" Type="http://schemas.openxmlformats.org/officeDocument/2006/relationships/hyperlink" Id="rId47"/>
    <Relationship TargetMode="External" Target="https://www.legis.iowa.gov/docs/ico/chapter/204.pdf" Type="http://schemas.openxmlformats.org/officeDocument/2006/relationships/hyperlink" Id="rId48"/>
    <Relationship TargetMode="External" Target="https://www.legis.iowa.gov/docs/iac/chapter/641.156.pdf" Type="http://schemas.openxmlformats.org/officeDocument/2006/relationships/hyperlink" Id="rId49"/>
    <Relationship TargetMode="External" Target="https://www.legis.iowa.gov/docs/ico/chapter/124E.pdf" Type="http://schemas.openxmlformats.org/officeDocument/2006/relationships/hyperlink" Id="rId50"/>
    <Relationship TargetMode="External" Target="https://www.legis.iowa.gov/docs/ico/chapter/124E.pdf" Type="http://schemas.openxmlformats.org/officeDocument/2006/relationships/hyperlink" Id="rId51"/>
    <Relationship TargetMode="External" Target="https://www.legis.iowa.gov/docs/ico/chapter/124E.pdf" Type="http://schemas.openxmlformats.org/officeDocument/2006/relationships/hyperlink" Id="rId52"/>
    <Relationship TargetMode="External" Target="https://www.legis.iowa.gov/docs/iac/rule/641.154.22.pdf" Type="http://schemas.openxmlformats.org/officeDocument/2006/relationships/hyperlink" Id="rId53"/>
    <Relationship TargetMode="External" Target="http://hhs.iowa.gov" Type="http://schemas.openxmlformats.org/officeDocument/2006/relationships/hyperlink" Id="rId54"/>
    <Relationship TargetMode="External" Target="https://www.legis.iowa.gov/docs/iac/rule/641.154.47.pdf" Type="http://schemas.openxmlformats.org/officeDocument/2006/relationships/hyperlink" Id="rId55"/>
    <Relationship TargetMode="External" Target="https://www.legis.iowa.gov/docs/iac/rule/641.154.30.pdf" Type="http://schemas.openxmlformats.org/officeDocument/2006/relationships/hyperlink" Id="rId56"/>
    <Relationship TargetMode="External" Target="https://www.legis.iowa.gov/docs/iac/rule/641.154.22.pdf" Type="http://schemas.openxmlformats.org/officeDocument/2006/relationships/hyperlink" Id="rId57"/>
    <Relationship TargetMode="External" Target="https://www.legis.iowa.gov/docs/ico/chapter/124E.pdf" Type="http://schemas.openxmlformats.org/officeDocument/2006/relationships/hyperlink" Id="rId58"/>
    <Relationship TargetMode="External" Target="https://www.legis.iowa.gov/docs/iac/rule/641.154.21.pdf" Type="http://schemas.openxmlformats.org/officeDocument/2006/relationships/hyperlink" Id="rId59"/>
    <Relationship TargetMode="External" Target="https://www.legis.iowa.gov/docs/ico/chapter/124E.pdf" Type="http://schemas.openxmlformats.org/officeDocument/2006/relationships/hyperlink" Id="rId60"/>
    <Relationship TargetMode="External" Target="https://www.legis.iowa.gov/docs/iac/rule/641.154.38.pdf" Type="http://schemas.openxmlformats.org/officeDocument/2006/relationships/hyperlink" Id="rId61"/>
    <Relationship TargetMode="External" Target="https://www.legis.iowa.gov/docs/ico/chapter/124E.pdf" Type="http://schemas.openxmlformats.org/officeDocument/2006/relationships/hyperlink" Id="rId62"/>
    <Relationship TargetMode="External" Target="https://www.legis.iowa.gov/docs/ico/chapter/124E.pdf" Type="http://schemas.openxmlformats.org/officeDocument/2006/relationships/hyperlink" Id="rId63"/>
    <Relationship TargetMode="External" Target="https://www.legis.iowa.gov/docs/ico/chapter/21.pdf" Type="http://schemas.openxmlformats.org/officeDocument/2006/relationships/hyperlink" Id="rId64"/>
    <Relationship TargetMode="External" Target="https://www.legis.iowa.gov/docs/ico/chapter/124E.pdf" Type="http://schemas.openxmlformats.org/officeDocument/2006/relationships/hyperlink" Id="rId65"/>
    <Relationship TargetMode="External" Target="https://www.legis.iowa.gov/docs/iac/chapter/441.4.pdf" Type="http://schemas.openxmlformats.org/officeDocument/2006/relationships/hyperlink" Id="rId66"/>
    <Relationship TargetMode="External" Target="http://hhs.iowa.gov" Type="http://schemas.openxmlformats.org/officeDocument/2006/relationships/hyperlink" Id="rId67"/>
    <Relationship TargetMode="External" Target="https://www.legis.iowa.gov/docs/ico/chapter/124E.pdf" Type="http://schemas.openxmlformats.org/officeDocument/2006/relationships/hyperlink" Id="rId68"/>
    <Relationship TargetMode="External" Target="https://www.legis.iowa.gov/docs/ico/chapter/124E.pdf" Type="http://schemas.openxmlformats.org/officeDocument/2006/relationships/hyperlink" Id="rId69"/>
    <Relationship TargetMode="External" Target="https://www.legis.iowa.gov/docs/iac/rule/641.154.47.pdf" Type="http://schemas.openxmlformats.org/officeDocument/2006/relationships/hyperlink" Id="rId70"/>
    <Relationship TargetMode="External" Target="https://www.legis.iowa.gov/docs/iac/rule/641.154.50.pdf" Type="http://schemas.openxmlformats.org/officeDocument/2006/relationships/hyperlink" Id="rId71"/>
    <Relationship TargetMode="External" Target="https://www.legis.iowa.gov/docs/iac/rule/641.154.47.pdf" Type="http://schemas.openxmlformats.org/officeDocument/2006/relationships/hyperlink" Id="rId72"/>
    <Relationship TargetMode="External" Target="http://hhs.iowa.gov" Type="http://schemas.openxmlformats.org/officeDocument/2006/relationships/hyperlink" Id="rId73"/>
    <Relationship TargetMode="External" Target="https://www.legis.iowa.gov/docs/iac/rule/641.154.50.pdf" Type="http://schemas.openxmlformats.org/officeDocument/2006/relationships/hyperlink" Id="rId74"/>
    <Relationship TargetMode="External" Target="https://www.legis.iowa.gov/docs/iac/rule/641.154.50.pdf" Type="http://schemas.openxmlformats.org/officeDocument/2006/relationships/hyperlink" Id="rId75"/>
    <Relationship TargetMode="External" Target="http://hhs.iowa.gov" Type="http://schemas.openxmlformats.org/officeDocument/2006/relationships/hyperlink" Id="rId76"/>
    <Relationship TargetMode="External" Target="https://www.legis.iowa.gov/docs/iac/rule/641.154.47.pdf" Type="http://schemas.openxmlformats.org/officeDocument/2006/relationships/hyperlink" Id="rId77"/>
    <Relationship TargetMode="External" Target="https://www.legis.iowa.gov/docs/ico/chapter/124E.pdf" Type="http://schemas.openxmlformats.org/officeDocument/2006/relationships/hyperlink" Id="rId7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