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Oracle Java 17.0.12 on Windows 10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AIR EMISSION STANDARDS</w:t>
      </w:r>
    </w:p>
    <w:p>
      <w:pPr>
        <w:spacing w:before="0" w:after="0"/>
        <w:ind w:left="120"/>
        <w:jc w:val="center"/>
      </w:pPr>
      <w:r>
        <w:rPr>
          <w:rFonts w:ascii="Times New Roman" w:hAnsi="Times New Roman"/>
          <w:b w:val="false"/>
          <w:i w:val="false"/>
          <w:color w:val="000000"/>
          <w:sz w:val="14"/>
        </w:rPr>
        <w:t>[Prior to 7/1/83, DEQ Ch 4]</w:t>
      </w:r>
    </w:p>
    <w:p>
      <w:pPr>
        <w:spacing w:before="0" w:after="0"/>
        <w:ind w:left="120"/>
        <w:jc w:val="center"/>
      </w:pPr>
      <w:r>
        <w:rPr>
          <w:rFonts w:ascii="Times New Roman" w:hAnsi="Times New Roman"/>
          <w:b w:val="false"/>
          <w:i w:val="false"/>
          <w:color w:val="000000"/>
          <w:sz w:val="14"/>
        </w:rPr>
        <w:t>[Prior to 12/3/86, Water, Air and Waste Management[900]]</w:t>
      </w:r>
    </w:p>
    <w:p>
      <w:pPr>
        <w:spacing w:before="0" w:after="0"/>
        <w:ind w:left="120"/>
        <w:jc w:val="both"/>
      </w:pPr>
      <w:r>
        <w:rPr>
          <w:rFonts w:ascii="Times New Roman" w:hAnsi="Times New Roman"/>
          <w:b/>
          <w:i w:val="false"/>
          <w:color w:val="000000"/>
          <w:sz w:val="22"/>
        </w:rPr>
        <w:t>567—23.1</w:t>
      </w:r>
      <w:r>
        <w:rPr>
          <w:rFonts w:ascii="Times New Roman" w:hAnsi="Times New Roman"/>
          <w:b/>
          <w:i w:val="false"/>
          <w:color w:val="000000"/>
          <w:sz w:val="22"/>
        </w:rPr>
        <w:t xml:space="preserve">(455B) </w:t>
      </w:r>
      <w:r>
        <w:rPr>
          <w:rFonts w:ascii="Times New Roman" w:hAnsi="Times New Roman"/>
          <w:b/>
          <w:i w:val="false"/>
          <w:color w:val="000000"/>
          <w:sz w:val="22"/>
        </w:rPr>
        <w:t xml:space="preserve">Emission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federal standards of performance for new stationary sources (new source performance standards) shall be applicable as specified in </w:t>
      </w:r>
      <w:hyperlink r:id="rId4">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The federal standards for hazardous air pollutants (national emission standards for hazardous air pollutants) shall be applicable as specified in </w:t>
      </w:r>
      <w:hyperlink r:id="rId5">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The federal standards for hazardous air pollutants for source categories (national emission standards for hazardous air pollutants for source categories) shall be applicable as specified in </w:t>
      </w:r>
      <w:hyperlink r:id="rId6">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xml:space="preserve">. The federal emission guidelines (emission guidelines) shall be applicable as specified in </w:t>
      </w:r>
      <w:hyperlink r:id="rId7">
        <w:r>
          <w:rPr>
            <w:rStyle w:val="Hyperlink"/>
            <w:rFonts w:ascii="Times New Roman" w:hAnsi="Times New Roman"/>
            <w:b w:val="false"/>
            <w:i w:val="false"/>
            <w:color w:val="000000"/>
            <w:sz w:val="22"/>
          </w:rPr>
          <w:t>23.1(5)</w:t>
        </w:r>
      </w:hyperlink>
      <w:r>
        <w:rPr>
          <w:rFonts w:ascii="Times New Roman" w:hAnsi="Times New Roman"/>
          <w:b w:val="false"/>
          <w:i w:val="false"/>
          <w:color w:val="000000"/>
          <w:sz w:val="22"/>
        </w:rPr>
        <w:t xml:space="preserve">. Compliance with emission standards specified elsewhere in this chapter shall be in accordance with </w:t>
      </w:r>
      <w:hyperlink r:id="rId8">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color w:val="000000"/>
          <w:sz w:val="22"/>
        </w:rPr>
        <w:t xml:space="preserve">New source performance standards. </w:t>
      </w:r>
      <w:r>
        <w:rPr>
          <w:rFonts w:ascii="Times New Roman" w:hAnsi="Times New Roman"/>
          <w:b w:val="false"/>
          <w:i w:val="false"/>
          <w:color w:val="000000"/>
          <w:sz w:val="22"/>
        </w:rPr>
        <w:t>The federal standards of performance for new stationary sources, as defined in 40 Code of Federal Regulations Part 60 as amended or corrected through June 28, 2023, are adopted by reference, except §60.530 through §60.539b (Part 60, Subpart AAA), and shall apply to the following affected facilities. The corresponding 40 CFR Part 60 subpart designation is provided in the table below. A different date for adoption by reference may be included with the subpart designation in the table. Reference test methods (Appendix A), performance specifications (Appendix B), determination of emission rate change (Appendix C), quality assurance procedures (Appendix F) and the general provisions (Subpart A) of 40 CFR Part 60 also apply to the affected facilities.</w:t>
      </w:r>
    </w:p>
    <w:p>
      <w:pPr>
        <w:spacing w:before="0" w:after="0"/>
        <w:ind w:left="120"/>
        <w:jc w:val="center"/>
      </w:pPr>
      <w:r>
        <w:rPr>
          <w:rFonts w:ascii="Times New Roman" w:hAnsi="Times New Roman"/>
          <w:b/>
          <w:i w:val="false"/>
          <w:color w:val="000000"/>
          <w:sz w:val="22"/>
        </w:rPr>
        <w:t>Federal New Source Performance Standards (NSPS)</w:t>
      </w:r>
    </w:p>
    <w:p>
      <w:pPr>
        <w:spacing w:before="0" w:after="0"/>
        <w:ind w:left="120"/>
        <w:jc w:val="center"/>
      </w:pPr>
      <w:r>
        <w:rPr>
          <w:rFonts w:ascii="Times New Roman" w:hAnsi="Times New Roman"/>
          <w:b/>
          <w:i w:val="false"/>
          <w:color w:val="000000"/>
          <w:sz w:val="22"/>
        </w:rPr>
        <w:t xml:space="preserve"> Adopted by Reference in </w:t>
      </w:r>
      <w:hyperlink r:id="rId9">
        <w:r>
          <w:rPr>
            <w:rStyle w:val="Hyperlink"/>
            <w:rFonts w:ascii="Times New Roman" w:hAnsi="Times New Roman"/>
            <w:b/>
            <w:i w:val="false"/>
            <w:color w:val="000000"/>
            <w:sz w:val="22"/>
          </w:rPr>
          <w:t>23.1(2)</w:t>
        </w:r>
      </w:hyperlink>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56"/>
        <w:gridCol w:w="4205"/>
        <w:gridCol w:w="1785"/>
        <w:gridCol w:w="3974"/>
      </w:tblGrid>
      <w:tr>
        <w:trPr>
          <w:trHeight w:val="1020" w:hRule="atLeast"/>
        </w:trPr>
        <w:tc>
          <w:tcPr>
            <w:tcW w:w="1556" w:type="dxa"/>
            <w:tcBorders>
              <w:bottom w:val="single" w:color="000000" w:sz="8"/>
            </w:tcBorders>
            <w:tcMar>
              <w:top w:w="30" w:type="dxa"/>
              <w:left w:w="30" w:type="dxa"/>
              <w:bottom w:w="15" w:type="dxa"/>
              <w:right w:w="30" w:type="dxa"/>
            </w:tcMar>
            <w:vAlign w:val="top"/>
          </w:tcPr>
          <w:p>
            <w:pPr>
              <w:spacing w:before="0" w:after="0"/>
              <w:ind w:left="160"/>
              <w:jc w:val="center"/>
            </w:pPr>
            <w:hyperlink r:id="rId10">
              <w:r>
                <w:rPr>
                  <w:rStyle w:val="Hyperlink"/>
                  <w:rFonts w:ascii="Times New Roman" w:hAnsi="Times New Roman"/>
                  <w:b/>
                  <w:i w:val="false"/>
                  <w:color w:val="000000"/>
                  <w:sz w:val="21"/>
                </w:rPr>
                <w:t>23.1(2)</w:t>
              </w:r>
            </w:hyperlink>
            <w:r>
              <w:rPr>
                <w:rFonts w:ascii="Times New Roman" w:hAnsi="Times New Roman"/>
                <w:b/>
                <w:i w:val="false"/>
                <w:color w:val="000000"/>
                <w:sz w:val="21"/>
              </w:rPr>
              <w:t xml:space="preserve"> paragraph</w:t>
            </w:r>
          </w:p>
        </w:tc>
        <w:tc>
          <w:tcPr>
            <w:tcW w:w="420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Affected source category </w:t>
            </w:r>
          </w:p>
        </w:tc>
        <w:tc>
          <w:tcPr>
            <w:tcW w:w="178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40 CFR Part 60 Subpart</w:t>
            </w:r>
          </w:p>
        </w:tc>
        <w:tc>
          <w:tcPr>
            <w:tcW w:w="397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Date of adoption (if different than </w:t>
            </w:r>
            <w:hyperlink r:id="rId11">
              <w:r>
                <w:rPr>
                  <w:rStyle w:val="Hyperlink"/>
                  <w:rFonts w:ascii="Times New Roman" w:hAnsi="Times New Roman"/>
                  <w:b/>
                  <w:i w:val="false"/>
                  <w:color w:val="000000"/>
                  <w:sz w:val="21"/>
                </w:rPr>
                <w:t>23.1(2)</w:t>
              </w:r>
            </w:hyperlink>
            <w:r>
              <w:rPr>
                <w:rFonts w:ascii="Times New Roman" w:hAnsi="Times New Roman"/>
                <w:b/>
                <w:i w:val="false"/>
                <w:color w:val="000000"/>
                <w:sz w:val="21"/>
              </w:rPr>
              <w:t xml:space="preserve"> introductory paragraph) or note if federal standard is not adopted</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Fossil fuel-fired steam generators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1/20/2011</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Incinerators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Portland cement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Nitric acid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Sulfuric acid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Hot mix asphalt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Petroleum refineries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 - Ja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Secondary lead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Secondary brass and bronze ingot production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Iron and steel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Sewage treatment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 and Subpart E of 40 CFR 503</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36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Steel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Primary copper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Primary zinc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Primary lead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Primary aluminum reduction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Wet process phosphoric acid plants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Superphosphoric acid plants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Diammonium phosphate plants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Triple super phosphate plants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Granular triple superphosphate storage facilities in the phosphate fertilizer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Coal preparation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Ferroalloy production</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Kraft pulp mills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February 27, 2014</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Lime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Electric utility steam generating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January 20, 2011</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Stationary gas turbines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Petroleum storage vessels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Petroleum storage vessels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Glass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Automobile and light-duty truck surface coating operations at assembly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Ammonium sulfate manufacture</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Surface coating of metal furniture</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Lead-acid battery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February 27, 2014</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Phosphate rock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Graphic arts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Industrial surface coating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Metal coil surface coating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Asphalt processing and asphalt roofing manufacturing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volatile organic compounds (VOC) in the synthetic organic chemicals manufacturing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 and VVa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37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Beverage can surface coating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Bulk gasoline terminals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Pressure sensitive tape and label surface coating operations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Metallic mineral processing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Synthetic fiber production facilities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VOC in petroleum refineries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Flexible vinyl and urethane coating and printing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FFF</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Petroleum dry cleaners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Electric arc furnaces and argon-oxygen decarburization vessels constructed after August 17, 1983</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Wool fiberglass insulation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Iron and steel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VOC from on-shore natural gas processing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On-shore natural gas processing: SO2 emissions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Nonmetallic mineral processing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Industrial-commercial-institutional steam generating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January 20, 2011</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Volatile organic liquid storage vessels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Rubber tire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fff</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Industrial surface coating: surface coating of plastic parts for business machines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 and TTTa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petroleum refinery wastewater systems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Magnetic tape coating facilities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Polymeric coating of supporting substrates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synthetic organic chemical manufacturing industry air oxidation unit processes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synthetic organic chemical manufacturing industry distillation operations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Small industrial-commercial-institutional steam generating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Dc</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January 20, 2011</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the polymer manufacturing industry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Municipal waste combustors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Grain elevators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Mineral processing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UUU</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VOC emissions from synthetic organic chemical manufacturing industry reactor processes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Municipal solid waste landfills, as defined by 40 CFR 60.751</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April 10, 2000</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Municipal waste combustors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Hospital/medical/infectious waste incinerators (HMIWI)</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Ec (partial adoption)*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uuu</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New small municipal waste combustion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Commercial and industrial solid waste incineration</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December 1, 2000</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Other solid waste incineration (OSWI) units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EEEE</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xxx</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yyy</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Stationary compression ignition internal combustion engines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IIII</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zzz</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Stationary spark ignition internal combustion engines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JJJJ</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Stationary combustion turbines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KKKK</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Nitric acid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w:t>
            </w:r>
          </w:p>
        </w:tc>
        <w:tc>
          <w:tcPr>
            <w:tcW w:w="42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Sewage sludge incineration units</w:t>
            </w:r>
          </w:p>
        </w:tc>
        <w:tc>
          <w:tcPr>
            <w:tcW w:w="17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LLLL</w:t>
            </w:r>
          </w:p>
        </w:tc>
        <w:tc>
          <w:tcPr>
            <w:tcW w:w="39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bl>
    <w:p>
      <w:pPr>
        <w:spacing w:before="0" w:after="0"/>
        <w:ind w:left="120"/>
        <w:jc w:val="both"/>
      </w:pPr>
      <w:r>
        <w:rPr>
          <w:rFonts w:ascii="Times New Roman" w:hAnsi="Times New Roman"/>
          <w:b w:val="false"/>
          <w:i w:val="false"/>
          <w:color w:val="000000"/>
          <w:sz w:val="22"/>
        </w:rPr>
        <w:t>*The provisions in 60.50c(a) through (h) (exceptions to Subpart Ec requirements) and 60.51(c) (Subpart Ec definitions) are adopted by reference. No other provisions of Subpart Ec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color w:val="000000"/>
          <w:sz w:val="22"/>
        </w:rPr>
        <w:t xml:space="preserve">Emission standards for hazardous air pollutants. </w:t>
      </w:r>
      <w:r>
        <w:rPr>
          <w:rFonts w:ascii="Times New Roman" w:hAnsi="Times New Roman"/>
          <w:b w:val="false"/>
          <w:i w:val="false"/>
          <w:color w:val="000000"/>
          <w:sz w:val="22"/>
        </w:rPr>
        <w:t>The federal standards for emissions of hazardous air pollutants, 40 Code of Federal Regulations Part 61 as amended or corrected through October 7, 2020, and 40 CFR Part 503 as adopted on August 4, 1999, are adopted by reference, except 40 CFR §61.20 to §61.26, §61.90 to §61.97, §61.100 to §61.108, §61.120 to §61.127, §61.190 to §61.193, §61.200 to §61.205, §61.220 to §61.225, and §61.250 to §61.256, and shall apply to the following affected pollutants and facilities and activities listed below. The corresponding 40 CFR Part 61 subpart designation is provided in the table below. A different date for adoption by reference may be included with the subpart designation in the table. Reference test methods (Appendix B), compliance status information requirements (Appendix A), quality assurance procedures (Appendix C) and the general provisions (Subpart A) of Part 61 also apply to the affected activities or facilities.</w:t>
      </w:r>
    </w:p>
    <w:p>
      <w:pPr>
        <w:spacing w:before="0" w:after="0"/>
        <w:ind w:left="120"/>
        <w:jc w:val="center"/>
      </w:pPr>
      <w:r>
        <w:rPr>
          <w:rFonts w:ascii="Times New Roman" w:hAnsi="Times New Roman"/>
          <w:b/>
          <w:i w:val="false"/>
          <w:color w:val="000000"/>
          <w:sz w:val="22"/>
        </w:rPr>
        <w:t>Federal Emission Standards for Hazardous Air Pollutants (NESHAP)</w:t>
      </w:r>
    </w:p>
    <w:p>
      <w:pPr>
        <w:spacing w:before="0" w:after="0"/>
        <w:ind w:left="120"/>
        <w:jc w:val="center"/>
      </w:pPr>
      <w:r>
        <w:rPr>
          <w:rFonts w:ascii="Times New Roman" w:hAnsi="Times New Roman"/>
          <w:b/>
          <w:i w:val="false"/>
          <w:color w:val="000000"/>
          <w:sz w:val="22"/>
        </w:rPr>
        <w:t xml:space="preserve"> Adopted by Reference in </w:t>
      </w:r>
      <w:hyperlink r:id="rId12">
        <w:r>
          <w:rPr>
            <w:rStyle w:val="Hyperlink"/>
            <w:rFonts w:ascii="Times New Roman" w:hAnsi="Times New Roman"/>
            <w:b/>
            <w:i w:val="false"/>
            <w:color w:val="000000"/>
            <w:sz w:val="22"/>
          </w:rPr>
          <w:t>23.1(3)</w:t>
        </w:r>
      </w:hyperlink>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56"/>
        <w:gridCol w:w="4205"/>
        <w:gridCol w:w="1785"/>
        <w:gridCol w:w="3974"/>
      </w:tblGrid>
      <w:tr>
        <w:trPr>
          <w:trHeight w:val="1020" w:hRule="atLeast"/>
        </w:trPr>
        <w:tc>
          <w:tcPr>
            <w:tcW w:w="1556" w:type="dxa"/>
            <w:tcBorders>
              <w:bottom w:val="single" w:color="000000" w:sz="8"/>
            </w:tcBorders>
            <w:tcMar>
              <w:top w:w="30" w:type="dxa"/>
              <w:left w:w="30" w:type="dxa"/>
              <w:bottom w:w="15" w:type="dxa"/>
              <w:right w:w="30" w:type="dxa"/>
            </w:tcMar>
            <w:vAlign w:val="top"/>
          </w:tcPr>
          <w:p>
            <w:pPr>
              <w:spacing w:before="0" w:after="0"/>
              <w:ind w:left="160"/>
              <w:jc w:val="center"/>
            </w:pPr>
            <w:hyperlink r:id="rId13">
              <w:r>
                <w:rPr>
                  <w:rStyle w:val="Hyperlink"/>
                  <w:rFonts w:ascii="Times New Roman" w:hAnsi="Times New Roman"/>
                  <w:b/>
                  <w:i w:val="false"/>
                  <w:color w:val="000000"/>
                  <w:sz w:val="21"/>
                </w:rPr>
                <w:t>23.1(3)</w:t>
              </w:r>
            </w:hyperlink>
            <w:r>
              <w:rPr>
                <w:rFonts w:ascii="Times New Roman" w:hAnsi="Times New Roman"/>
                <w:b/>
                <w:i w:val="false"/>
                <w:color w:val="000000"/>
                <w:sz w:val="21"/>
              </w:rPr>
              <w:t xml:space="preserve"> paragraph</w:t>
            </w:r>
          </w:p>
        </w:tc>
        <w:tc>
          <w:tcPr>
            <w:tcW w:w="420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Affected source category </w:t>
            </w:r>
          </w:p>
        </w:tc>
        <w:tc>
          <w:tcPr>
            <w:tcW w:w="178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40 CFR Part 61 Subpart Adopted</w:t>
            </w:r>
          </w:p>
        </w:tc>
        <w:tc>
          <w:tcPr>
            <w:tcW w:w="397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Date of adoption (if different than </w:t>
            </w:r>
            <w:hyperlink r:id="rId14">
              <w:r>
                <w:rPr>
                  <w:rStyle w:val="Hyperlink"/>
                  <w:rFonts w:ascii="Times New Roman" w:hAnsi="Times New Roman"/>
                  <w:b/>
                  <w:i w:val="false"/>
                  <w:color w:val="000000"/>
                  <w:sz w:val="21"/>
                </w:rPr>
                <w:t>23.1(3)</w:t>
              </w:r>
            </w:hyperlink>
            <w:r>
              <w:rPr>
                <w:rFonts w:ascii="Times New Roman" w:hAnsi="Times New Roman"/>
                <w:b/>
                <w:i w:val="false"/>
                <w:color w:val="000000"/>
                <w:sz w:val="21"/>
              </w:rPr>
              <w:t xml:space="preserve"> introductory paragraph) or note if standard is not adopted</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Asbestos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64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Beryllium</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Beryllium rocket motor firing</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Vinyl chloride</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benzene (fugitive emission sources)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Equipment leaks of volatile hazardous air pollutants (fugitive emission sources)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Inorganic arsenic emissions from arsenic trioxide and metallic arsenic production facilities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Inorganic arsenic emissions from glass manufacturing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Inorganic arsenic emissions from primary copper smelters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Benzene emissions from coke by-product recovery plants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Benzene emissions from benzene storage vessels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5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42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Benzene emissions from benzene transfer operations</w:t>
            </w:r>
          </w:p>
        </w:tc>
        <w:tc>
          <w:tcPr>
            <w:tcW w:w="17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w:t>
            </w:r>
          </w:p>
        </w:tc>
        <w:tc>
          <w:tcPr>
            <w:tcW w:w="39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42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Benzene waste operations</w:t>
            </w:r>
          </w:p>
        </w:tc>
        <w:tc>
          <w:tcPr>
            <w:tcW w:w="17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w:t>
            </w:r>
          </w:p>
        </w:tc>
        <w:tc>
          <w:tcPr>
            <w:tcW w:w="39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color w:val="000000"/>
          <w:sz w:val="22"/>
        </w:rPr>
        <w:t xml:space="preserve">Emission standards for hazardous air pollutants for source categories. </w:t>
      </w:r>
      <w:r>
        <w:rPr>
          <w:rFonts w:ascii="Times New Roman" w:hAnsi="Times New Roman"/>
          <w:b w:val="false"/>
          <w:i w:val="false"/>
          <w:color w:val="000000"/>
          <w:sz w:val="22"/>
        </w:rPr>
        <w:t xml:space="preserve">The federal standards for emissions of hazardous air pollutants for source categories, 40 Code of Federal Regulations Part 63 as amended or corrected through March 29, 2023, are adopted by reference, except those provisions that cannot be delegated to the states. The corresponding 40 CFR Part 63 subpart designation is provided in the table below. A different date for adoption by reference may be included with the subpart designation in the table. 40 CFR Part 63, Subpart B, incorporates the requirements of Clean Air Act Sections 112(g) and 112(j) and does not adopt standards for a specific affected facility. Test methods (Appendix A), sources defined for early reduction provisions (Appendix B), and determination of the fraction biodegraded (Fbio) in the biological treatment unit (Appendix C) of Part 63 also apply to the affected activities or facilities. </w:t>
      </w:r>
    </w:p>
    <w:p>
      <w:pPr>
        <w:spacing w:before="0" w:after="0"/>
        <w:ind w:left="120"/>
        <w:jc w:val="both"/>
      </w:pPr>
      <w:r>
        <w:rPr>
          <w:rFonts w:ascii="Times New Roman" w:hAnsi="Times New Roman"/>
          <w:b w:val="false"/>
          <w:i w:val="false"/>
          <w:color w:val="000000"/>
          <w:sz w:val="22"/>
        </w:rPr>
        <w:t xml:space="preserve">For the purpose of this subrule and the rules in </w:t>
      </w:r>
      <w:hyperlink r:id="rId15">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the following terms shall, unless otherwise noted, have the meaning indicated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air pollutant”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“HAP” </w:t>
      </w:r>
      <w:r>
        <w:rPr>
          <w:rFonts w:ascii="Times New Roman" w:hAnsi="Times New Roman"/>
          <w:b w:val="false"/>
          <w:i w:val="false"/>
          <w:color w:val="000000"/>
          <w:sz w:val="22"/>
        </w:rPr>
        <w:t xml:space="preserve">means the same as “hazardous air pollutant” set forth in </w:t>
      </w:r>
      <w:hyperlink r:id="rId17">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source” </w:t>
      </w:r>
      <w:r>
        <w:rPr>
          <w:rFonts w:ascii="Times New Roman" w:hAnsi="Times New Roman"/>
          <w:b w:val="false"/>
          <w:i w:val="false"/>
          <w:color w:val="000000"/>
          <w:sz w:val="22"/>
        </w:rPr>
        <w:t>means any stationary source or group of stationary sources located within a contiguous area and under common control that emits or has the potential to emit, considering controls, in the aggregate, 10 tons per year or more of any hazardous air pollutant or 25 tons per year or more of any combination of hazardous air pollutants, unless a lesser quantity is established, or in the case of radionuclides, where different criteria are employed. “Area source” means any stationary source of hazardous air pollutants that is not a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existing sources,” </w:t>
      </w:r>
      <w:r>
        <w:rPr>
          <w:rFonts w:ascii="Times New Roman" w:hAnsi="Times New Roman"/>
          <w:b w:val="false"/>
          <w:i w:val="false"/>
          <w:color w:val="000000"/>
          <w:sz w:val="22"/>
        </w:rPr>
        <w:t>as this definition is set forth in 40 CFR Subpart B, section 63.51,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new sources,” </w:t>
      </w:r>
      <w:r>
        <w:rPr>
          <w:rFonts w:ascii="Times New Roman" w:hAnsi="Times New Roman"/>
          <w:b w:val="false"/>
          <w:i w:val="false"/>
          <w:color w:val="000000"/>
          <w:sz w:val="22"/>
        </w:rPr>
        <w:t>as this definition is set forth in 40 CFR Subpart B, section 63.51,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floor,” </w:t>
      </w:r>
      <w:r>
        <w:rPr>
          <w:rFonts w:ascii="Times New Roman" w:hAnsi="Times New Roman"/>
          <w:b w:val="false"/>
          <w:i w:val="false"/>
          <w:color w:val="000000"/>
          <w:sz w:val="22"/>
        </w:rPr>
        <w:t>as this definition is set forth in 40 CFR Subpart B, section 63.51, is adopted by reference.</w:t>
      </w:r>
    </w:p>
    <w:p>
      <w:pPr>
        <w:spacing w:before="0" w:after="0"/>
        <w:ind w:left="120"/>
        <w:jc w:val="both"/>
      </w:pPr>
      <w:hyperlink r:id="rId18">
        <w:r>
          <w:rPr>
            <w:rStyle w:val="Hyperlink"/>
            <w:rFonts w:ascii="Times New Roman" w:hAnsi="Times New Roman"/>
            <w:b w:val="false"/>
            <w:i w:val="false"/>
            <w:color w:val="000000"/>
            <w:sz w:val="22"/>
          </w:rPr>
          <w:t>23.1(4)</w:t>
        </w:r>
      </w:hyperlink>
      <w:r>
        <w:rPr>
          <w:rFonts w:ascii="Times New Roman" w:hAnsi="Times New Roman"/>
          <w:b w:val="false"/>
          <w:i/>
          <w:color w:val="000000"/>
          <w:sz w:val="22"/>
        </w:rPr>
        <w:t>“a,”</w:t>
      </w:r>
      <w:r>
        <w:rPr>
          <w:rFonts w:ascii="Times New Roman" w:hAnsi="Times New Roman"/>
          <w:b w:val="false"/>
          <w:i w:val="false"/>
          <w:color w:val="000000"/>
          <w:sz w:val="22"/>
        </w:rPr>
        <w:t xml:space="preserve"> general provisions (Subpart A) of Part 63, shall apply to owners or operators who are subject to subsequent subparts of 40 CFR Part 63 (except when otherwise specified in a particular subpart or in a relevant standard) as adopted by reference in the table below.</w:t>
      </w:r>
    </w:p>
    <w:p>
      <w:pPr>
        <w:spacing w:before="0" w:after="0"/>
        <w:ind w:left="120"/>
        <w:jc w:val="center"/>
      </w:pPr>
      <w:r>
        <w:rPr>
          <w:rFonts w:ascii="Times New Roman" w:hAnsi="Times New Roman"/>
          <w:b/>
          <w:i w:val="false"/>
          <w:color w:val="000000"/>
          <w:sz w:val="22"/>
        </w:rPr>
        <w:t xml:space="preserve">Federal Emission Standards for Hazardous Air Pollutants (NESHAP) for Source Categories </w:t>
      </w:r>
    </w:p>
    <w:p>
      <w:pPr>
        <w:spacing w:before="0" w:after="0"/>
        <w:ind w:left="120"/>
        <w:jc w:val="center"/>
      </w:pPr>
      <w:r>
        <w:rPr>
          <w:rFonts w:ascii="Times New Roman" w:hAnsi="Times New Roman"/>
          <w:b/>
          <w:i w:val="false"/>
          <w:color w:val="000000"/>
          <w:sz w:val="22"/>
        </w:rPr>
        <w:t xml:space="preserve"> Adopted by Reference in </w:t>
      </w:r>
      <w:hyperlink r:id="rId19">
        <w:r>
          <w:rPr>
            <w:rStyle w:val="Hyperlink"/>
            <w:rFonts w:ascii="Times New Roman" w:hAnsi="Times New Roman"/>
            <w:b/>
            <w:i w:val="false"/>
            <w:color w:val="000000"/>
            <w:sz w:val="22"/>
          </w:rPr>
          <w:t>23.1(4)</w:t>
        </w:r>
      </w:hyperlink>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27"/>
        <w:gridCol w:w="4176"/>
        <w:gridCol w:w="1872"/>
        <w:gridCol w:w="3945"/>
      </w:tblGrid>
      <w:tr>
        <w:trPr>
          <w:trHeight w:val="1020" w:hRule="atLeast"/>
        </w:trPr>
        <w:tc>
          <w:tcPr>
            <w:tcW w:w="1527" w:type="dxa"/>
            <w:tcBorders>
              <w:bottom w:val="single" w:color="000000" w:sz="8"/>
            </w:tcBorders>
            <w:tcMar>
              <w:top w:w="30" w:type="dxa"/>
              <w:left w:w="30" w:type="dxa"/>
              <w:bottom w:w="15" w:type="dxa"/>
              <w:right w:w="30" w:type="dxa"/>
            </w:tcMar>
            <w:vAlign w:val="top"/>
          </w:tcPr>
          <w:p>
            <w:pPr>
              <w:spacing w:before="0" w:after="0"/>
              <w:ind w:left="160"/>
              <w:jc w:val="center"/>
            </w:pPr>
            <w:hyperlink r:id="rId20">
              <w:r>
                <w:rPr>
                  <w:rStyle w:val="Hyperlink"/>
                  <w:rFonts w:ascii="Times New Roman" w:hAnsi="Times New Roman"/>
                  <w:b/>
                  <w:i w:val="false"/>
                  <w:color w:val="000000"/>
                  <w:sz w:val="21"/>
                </w:rPr>
                <w:t>23.1(4)</w:t>
              </w:r>
            </w:hyperlink>
            <w:r>
              <w:rPr>
                <w:rFonts w:ascii="Times New Roman" w:hAnsi="Times New Roman"/>
                <w:b/>
                <w:i w:val="false"/>
                <w:color w:val="000000"/>
                <w:sz w:val="21"/>
              </w:rPr>
              <w:t xml:space="preserve"> paragraph</w:t>
            </w:r>
          </w:p>
        </w:tc>
        <w:tc>
          <w:tcPr>
            <w:tcW w:w="4176"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Affected source category </w:t>
            </w:r>
          </w:p>
        </w:tc>
        <w:tc>
          <w:tcPr>
            <w:tcW w:w="1872"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40 CFR Part 63 Subpart Adopted</w:t>
            </w:r>
          </w:p>
        </w:tc>
        <w:tc>
          <w:tcPr>
            <w:tcW w:w="394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 xml:space="preserve">Date of adoption (if different than </w:t>
            </w:r>
            <w:hyperlink r:id="rId21">
              <w:r>
                <w:rPr>
                  <w:rStyle w:val="Hyperlink"/>
                  <w:rFonts w:ascii="Times New Roman" w:hAnsi="Times New Roman"/>
                  <w:b/>
                  <w:i w:val="false"/>
                  <w:color w:val="000000"/>
                  <w:sz w:val="21"/>
                </w:rPr>
                <w:t>23.1(4)</w:t>
              </w:r>
            </w:hyperlink>
            <w:r>
              <w:rPr>
                <w:rFonts w:ascii="Times New Roman" w:hAnsi="Times New Roman"/>
                <w:b/>
                <w:i w:val="false"/>
                <w:color w:val="000000"/>
                <w:sz w:val="21"/>
              </w:rPr>
              <w:t xml:space="preserve"> introductory paragraph) or note if standard is not adopted</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General provisions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Requirements for control technology determinations for major sources in accordance with Clean Air Act Sections 112(g) and 112(j)</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Compliance extensions for early reductions of hazardous air pollutants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organic hazardous air pollutants from the synthetic chemical manufacturing industry</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45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organic hazardous air pollutants from the synthetic organic chemical manufacturing industry for process vents, storage vessels, transfer operations, and wastewater</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organic hazardous air pollutants for equipment leaks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1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organic hazardous air pollutants for certain processes subject to negotiated regulation for equipment leaks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polyvinyl chloride and copolymers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Subparts J and HHHHHHH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coke oven batteries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Perchloroethylene air emission standards for dry cleaning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chromium emissions from hard and decorative chromium electroplating and chromium anodizing tanks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ethylene oxide commercial sterilization and fumigation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industrial process cooling towers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gasoline distribution: (Stage 1)</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pulp and paper (noncombustion)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halogenated solvent cleaning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Group I polymers and resins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epoxy resins production and nonnylon polyamides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National emission standards for hazardous air pollutants from secondary lead smelting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marine tank vessel loading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7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phosphoric acid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phosphate fertilizers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National emission standards for hazardous air pollutants: petroleum refineries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off-site waste and recovery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magnetic tape manufacturing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National emission standards for hazardous air pollutants for source categories: aerospace manufacturing and rework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oil and natural gas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shipbuilding and ship repair (surface coating)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HAP emissions from wood furniture manufacturing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the printing and publishing industry</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primary aluminum reduction plants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chemical recovery combustion sources at kraft, soda, sulfite, and stand-alone semichemical pulp mills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11, 2017</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tanks—level 1</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containers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surface impoundments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individual drain systems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closed vent systems, control devices, recovery devices and routing to a fuel gas system or a process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equipment leaks—control level 1</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equipment leaks—control level 2 standards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oil-water separators and organic-water separators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storage vessels (tanks)—control level 2</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ethylene manufacturing process units: heat exchange systems and waste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generic maximum achievable control technology (generic MACT)</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8, 2014</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az to bb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steel pickling—HCL process facilities and hydrochloric acid regeneration plants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mineral wool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from hazardous waste combustors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pharmaceutical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natural gas transmission and storage</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flexible polyurethane foam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Group IV polymers and resins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Portland cement manufacturing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7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pesticide active ingredient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wool fiberglass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amino/phenolic resins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polyether polyols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primary copper smelting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secondary aluminum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primary lead smelting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petroleum refineries: catalytic cracking units, catalytic reforming units, and sulfur recovery units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UUU</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publicly owned treatment works (POTW)</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ferroalloys production: ferromanganese and silicomanganese</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by and bz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municipal solid waste landfills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April 20, 2006</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the manufacturing of nutritional yeast</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plywood and composite wood products (formerly plywood and particle board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October 29, 2007</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organic liquids distribution (non-gasoline)</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EEEE</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July 17, 2008</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miscellaneous organic chemical (MON)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FFFF</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July 14, 2006</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solvent extraction for vegetable oil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wet-formed fiberglass mat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surface coating of automobiles and light-duty trucks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paper and other web coating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surface coating of metal cans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KKKK</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surface coating of miscellaneous metal parts and products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surface coating of large appliances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printing, coating, and dyeing of fabrics and other textiles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surface coating of plastic parts and products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surface coating of wood building products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surface coating of metal furniture</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surface coating of metal coil</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leather finishing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cellulose products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UUUU</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84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boat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VVVV</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reinforced plastic composites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rubber tire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XXXX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stationary combustion turbines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YYYY</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November 19, 2020</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stationary reciprocating internal combustion engines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ZZZZ</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lime manufacturing plants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AAAAA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April 20, 2006</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semiconductor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BBBBB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coke ovens: pushing, quenching, and battery stacks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industrial, commercial and institutional boilers and process heaters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DDDDD</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iron and steel foundries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EEEEE</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df</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integrated iron and steel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FFFFF</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July 13, 2006</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site remediation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GGGGG</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November 29, 2006</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miscellaneous coating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mercury emissions from mercury cell chlor-alkali plants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IIIII</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brick and structural clay products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clay ceramics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KKKKK</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85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asphalt processing and asphalt roofing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LLLLL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flexible polyurethane foam fabrication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hydrochloric acid production</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NNNNN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engine test cells/stands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friction materials manufacturing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taconite iron ore processing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refractory products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SSSSS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primary magnesium refining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Not adopted. No facilities in Iowa. Paragraph reserved.</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du and dv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hospital ethylene oxide sterilizer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electric arc furnace steelmaking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YYYYY</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iron and steel foundry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ZZZZZ</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21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gasoline distribution area sources: bulk terminals, bulk plants and pipeline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BBBBBB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gasoline dispensing facilities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ed to eg</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eh</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paint stripping and miscellaneous surface coating operations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HHHHHH</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4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ei</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ej</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industrial, commercial, and institutional boilers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JJJJJJ</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ek</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el</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acrylic and modacrylic fibers production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LLLLLL</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carbon black production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MMMMMM</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en</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chemical manufacturing of chromium compounds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NNNNNN</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eo</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flexible polyurethane foam production and fabrication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OOOOOO</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ep</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lead acid battery manufacturing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PPPPPP</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November 19, 2020</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wood preserving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QQQQQQ</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er</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clay ceramics manufacturing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RRRRRR</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es</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glass manufacturing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SSSSSS</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et</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Emissions standards for hazardous air pollutants for secondary nonferrous metals processing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TTTTTT</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51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ev</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VVVVVV</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plating and polishing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WWWWWW</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metal fabrication and finishing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XXXXXX</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ey</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103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ez</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aluminum, copper, and other nonferrous foundries</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ZZZZZZ</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285"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Reserved</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fb</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National emission standards for hazardous air pollutants for area sources: chemical preparations industry</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BBBBBBB</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990" w:hRule="atLeast"/>
        </w:trPr>
        <w:tc>
          <w:tcPr>
            <w:tcW w:w="15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fc</w:t>
            </w:r>
          </w:p>
        </w:tc>
        <w:tc>
          <w:tcPr>
            <w:tcW w:w="41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paint and allied products manufacturing</w:t>
            </w:r>
          </w:p>
        </w:tc>
        <w:tc>
          <w:tcPr>
            <w:tcW w:w="1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CCCCCCC</w:t>
            </w:r>
          </w:p>
        </w:tc>
        <w:tc>
          <w:tcPr>
            <w:tcW w:w="39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r>
        <w:trPr>
          <w:trHeight w:val="750" w:hRule="atLeast"/>
        </w:trPr>
        <w:tc>
          <w:tcPr>
            <w:tcW w:w="15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fd</w:t>
            </w:r>
          </w:p>
        </w:tc>
        <w:tc>
          <w:tcPr>
            <w:tcW w:w="41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Emission standards for hazardous air pollutants for area sources: prepared feeds manufacturing</w:t>
            </w:r>
          </w:p>
        </w:tc>
        <w:tc>
          <w:tcPr>
            <w:tcW w:w="1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DDDDDDD</w:t>
            </w:r>
          </w:p>
        </w:tc>
        <w:tc>
          <w:tcPr>
            <w:tcW w:w="39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w:t>
      </w:r>
      <w:r>
        <w:rPr>
          <w:rFonts w:ascii="Times New Roman" w:hAnsi="Times New Roman"/>
          <w:b w:val="false"/>
          <w:i w:val="false"/>
          <w:color w:val="000000"/>
          <w:sz w:val="22"/>
        </w:rPr>
        <w:t xml:space="preserve">The emission guidelines and compliance times for existing sources, as defined in 40 Code of Federal Regulations Part 60 as amended through March 21, 2011, shall apply to the following affected facilities. The corresponding 40 CFR Part 60 subpart designation is in parentheses. A different CFR reference and date for adoption by reference may be included with the subpart designation indicated in the paragraphs of this subrule. The control of the designated pollutants will be in accordance with federal standards established in Sections 111 and 129 of the Act and 40 CFR Part 60, Subpart B (Adoption and Submittal of State Plans for Designated Facilities), and the applicable subpart(s) for the existing source. Reference test methods (Appendix A), performance specifications (Appendix B), determination of emission rate change (Appendix C), quality assurance procedures (Appendix F) and the general provisions (Subpart A) of 40 CFR Part 60, as adopted by reference in </w:t>
      </w:r>
      <w:hyperlink r:id="rId22">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also apply to the affected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for municipal solid waste landfills (Subpart Cc). </w:t>
      </w:r>
      <w:r>
        <w:rPr>
          <w:rFonts w:ascii="Times New Roman" w:hAnsi="Times New Roman"/>
          <w:b w:val="false"/>
          <w:i w:val="false"/>
          <w:color w:val="000000"/>
          <w:sz w:val="22"/>
        </w:rPr>
        <w:t>Emission guidelines and compliance times for the control of certain designated pollutants from designated municipal solid waste landfills shall be in accordance with federal standards established in Subparts Cc (Emission Guidelines and Compliance Times for Municipal Solid Waste Landfills) and WWW (Standards of Performance for Municipal Solid Waste Landfills) of 40 CFR Part 60 as amended through April 10,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For the purpose of </w:t>
      </w:r>
      <w:hyperlink r:id="rId23">
        <w:r>
          <w:rPr>
            <w:rStyle w:val="Hyperlink"/>
            <w:rFonts w:ascii="Times New Roman" w:hAnsi="Times New Roman"/>
            <w:b w:val="false"/>
            <w:i w:val="false"/>
            <w:color w:val="000000"/>
            <w:sz w:val="22"/>
          </w:rPr>
          <w:t>23.1(5)</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definitions have the same meaning given to them in the Act and 40 CFR Part 60, Subparts A (General Provisions), B, and WWW, if not defined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 solid waste landfill”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“MSW landfill” </w:t>
      </w:r>
      <w:r>
        <w:rPr>
          <w:rFonts w:ascii="Times New Roman" w:hAnsi="Times New Roman"/>
          <w:b w:val="false"/>
          <w:i w:val="false"/>
          <w:color w:val="000000"/>
          <w:sz w:val="22"/>
        </w:rPr>
        <w:t>means an entire disposal facility in a contiguous geographical space where household waste is placed in or on land. An MSW landfill may also receive other types of RCRA Subtitle D wastes such as commercial solid waste, nonhazardous sludge, and industrial solid waste. Portions of an MSW landfill may be separated by access roads. An MSW landfill may be publicly or privately owned. An MSW landfill may be a new MSW landfill, an existing MSW landfill or a lateral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Designated facilities.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designated facility to which the emission guidelines apply is each existing MSW landfill for which construction, reconstruction or modification was commenced before May 30, 1991.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Physical or operational changes made to an existing MSW landfill solely to comply with an emission guideline are not considered a modification or reconstruction and would not subject an existing MSW landfill to the requirements of 40 CFR Part 60, Subpart WWW (40 CFR 60.750).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MSW landfills subject to </w:t>
      </w:r>
      <w:hyperlink r:id="rId24">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 xml:space="preserve">(455B) only because of applicability to </w:t>
      </w:r>
      <w:hyperlink r:id="rId25">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 xml:space="preserve">(2), the following apply for obtaining and maintaining a Title V operating permit under </w:t>
      </w:r>
      <w:hyperlink r:id="rId26">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or operator of an MSW landfill with a design capacity less than 2.5 million megagrams or 2.5 million cubic meters is not required to obtain an operating permit for the landfill.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owner or operator of an MSW landfill with a design capacity greater than or equal to 2.5 million megagrams and 2.5 million cubic meters on or before June 22, 1998, becomes subject to the requirements of </w:t>
      </w:r>
      <w:hyperlink r:id="rId27">
        <w:r>
          <w:rPr>
            <w:rStyle w:val="Hyperlink"/>
            <w:rFonts w:ascii="Times New Roman" w:hAnsi="Times New Roman"/>
            <w:b w:val="false"/>
            <w:i w:val="false"/>
            <w:color w:val="000000"/>
            <w:sz w:val="22"/>
          </w:rPr>
          <w:t>567—subrule 24.105(1)</w:t>
        </w:r>
      </w:hyperlink>
      <w:r>
        <w:rPr>
          <w:rFonts w:ascii="Times New Roman" w:hAnsi="Times New Roman"/>
          <w:b w:val="false"/>
          <w:i w:val="false"/>
          <w:color w:val="000000"/>
          <w:sz w:val="22"/>
        </w:rPr>
        <w:t xml:space="preserve"> on September 20, 1998. This requires the landfill to submit a Title V permit application to the air quality bureau, department of natural resources, no later than September 20, 1999.</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owner or operator of a closed MSW landfill does not have to maintain an operating permit for the landfill if either of the following conditions are met: the landfill was never subject to the requirement for a control system under </w:t>
      </w:r>
      <w:hyperlink r:id="rId28">
        <w:r>
          <w:rPr>
            <w:rStyle w:val="Hyperlink"/>
            <w:rFonts w:ascii="Times New Roman" w:hAnsi="Times New Roman"/>
            <w:b w:val="false"/>
            <w:i w:val="false"/>
            <w:color w:val="000000"/>
            <w:sz w:val="22"/>
          </w:rPr>
          <w:t>23.1(5)</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or the owner or operator meets the conditions for control system removal specified in 40 CFR §60.752(b)(2)(v).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Emission guidelines for municipal solid waste landfill emissions.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MSW landfill emissions at each MSW landfill meeting the conditions below shall be controlled. A design capacity report must be submitted to the director by November 18, 1997.</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landfill has accepted waste at any time since November 8, 1987, or has additional design capacity available for future waste deposition.</w:t>
      </w:r>
    </w:p>
    <w:p>
      <w:pPr>
        <w:spacing w:before="0" w:after="0"/>
        <w:ind w:left="120"/>
        <w:jc w:val="both"/>
      </w:pPr>
      <w:r>
        <w:rPr>
          <w:rFonts w:ascii="Times New Roman" w:hAnsi="Times New Roman"/>
          <w:b w:val="false"/>
          <w:i w:val="false"/>
          <w:color w:val="000000"/>
          <w:sz w:val="22"/>
        </w:rPr>
        <w:t>The landfill has a design capacity greater than or equal to 2.5 million megagrams and 2.5 million cubic meters. The landfill may calculate design capacity in either megagrams or cubic meters for comparison with the exemption values. Any density conversions shall be documented and submitted with the report. All calculations used to determine the maximum design capacity must be included in the design capacity report.</w:t>
      </w:r>
    </w:p>
    <w:p>
      <w:pPr>
        <w:spacing w:before="0" w:after="0"/>
        <w:ind w:left="120"/>
        <w:jc w:val="both"/>
      </w:pPr>
      <w:r>
        <w:rPr>
          <w:rFonts w:ascii="Times New Roman" w:hAnsi="Times New Roman"/>
          <w:b w:val="false"/>
          <w:i w:val="false"/>
          <w:color w:val="000000"/>
          <w:sz w:val="22"/>
        </w:rPr>
        <w:t xml:space="preserve">The landfill has a nonmethane organic compound (NMOC) emission rate of 50 megagrams per year or more. If the MSW landfill’s design capacity exceeds the established thresholds in </w:t>
      </w:r>
      <w:hyperlink r:id="rId29">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(3)“1,” the NMOC emission rate calculations must be provided with the design capacity report.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planning and installation of a collection and control system shall meet the conditions provided in 40 CFR 60.752(b)(2) at each MSW landfill meeting the conditions in </w:t>
      </w:r>
      <w:hyperlink r:id="rId30">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MSW landfill emissions collected through the use of control devices must meet the following requirements, except as provided in 40 CFR 60.24 after approval by the director and U.S. Environmental Protection Agency: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 open flare designed and operated in accordance with the parameters established in 40 CFR 60.18; a control system designed and operated to reduce NMOC by 98 weight percent; or an enclosed combustor designed and operated to reduce the outlet NMOC concentration to 20 parts per million as hexane by volume, dry basis at 3 percent oxygen,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 methods and procedures. The following must be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calculation of the landfill NMOC emission rate listed in 40 CFR 60.754, as applicable, to determine whether the landfill meets the condition in </w:t>
      </w:r>
      <w:hyperlink r:id="rId31">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operational standards in 40 CFR 60.753;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compliance provisions in 40 CFR 60.755;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monitoring provisions in 40 CFR 60.756.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Reporting and recordkeeping requirements. The recordkeeping and reporting provisions listed in 40 CFR 60.757 and 60.758, as applicable, except as provided under 40 CFR 60.24 after approval by the director and U.S. Environmental Protection Agency,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Compliance times.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Except as provided for under </w:t>
      </w:r>
      <w:hyperlink r:id="rId32">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 xml:space="preserve">(6)“2,” planning, awarding of contracts, and installation of MSW landfill air emission collection and control equipment capable of meeting the emission guidelines established under </w:t>
      </w:r>
      <w:hyperlink r:id="rId33">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 shall be accomplished within 30 months after the date the initial NMOC emission rate report shows NMOC emissions greater than or equal to 50 megagrams per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each existing MSW landfill meeting the conditions in </w:t>
      </w:r>
      <w:hyperlink r:id="rId34">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 xml:space="preserve">(3)“1” whose NMOC emission rate is less than 50 megagrams per year on August 20, 1997, installation of collection and control systems capable of meeting emission guidelines in </w:t>
      </w:r>
      <w:hyperlink r:id="rId35">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 xml:space="preserve">(3) shall be accomplished within 30 months of the date when the condition in </w:t>
      </w:r>
      <w:hyperlink r:id="rId36">
        <w:r>
          <w:rPr>
            <w:rStyle w:val="Hyperlink"/>
            <w:rFonts w:ascii="Times New Roman" w:hAnsi="Times New Roman"/>
            <w:b w:val="false"/>
            <w:i w:val="false"/>
            <w:color w:val="000000"/>
            <w:sz w:val="22"/>
          </w:rPr>
          <w:t>23.1(5)</w:t>
        </w:r>
      </w:hyperlink>
      <w:r>
        <w:rPr>
          <w:rFonts w:ascii="Times New Roman" w:hAnsi="Times New Roman"/>
          <w:b w:val="false"/>
          <w:i/>
          <w:color w:val="000000"/>
          <w:sz w:val="22"/>
        </w:rPr>
        <w:t>“a”</w:t>
      </w:r>
      <w:r>
        <w:rPr>
          <w:rFonts w:ascii="Times New Roman" w:hAnsi="Times New Roman"/>
          <w:b w:val="false"/>
          <w:i w:val="false"/>
          <w:color w:val="000000"/>
          <w:sz w:val="22"/>
        </w:rPr>
        <w:t>(3)“1” is met (i.e., the date of the first annual nonmethane organic compounds emission rate which equals or exceeds 50 megagrams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for hospital/medical/infectious waste incinerators (40 CFR Part 62, Subpart HHH). </w:t>
      </w:r>
      <w:r>
        <w:rPr>
          <w:rFonts w:ascii="Times New Roman" w:hAnsi="Times New Roman"/>
          <w:b w:val="false"/>
          <w:i w:val="false"/>
          <w:color w:val="000000"/>
          <w:sz w:val="22"/>
        </w:rPr>
        <w:t>The provisions in 62.14400(b) (exceptions to Subpart HHH requirements) and 62.14490 (Subpart HHH definitions) as amended through May 13, 2013, are adopted by reference. No other provisions of Subpart HHH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and compliance schedules for existing commercial and industrial solid waste incineration units that commenced construction on or before November 30, 1999. </w:t>
      </w:r>
      <w:r>
        <w:rPr>
          <w:rFonts w:ascii="Times New Roman" w:hAnsi="Times New Roman"/>
          <w:b w:val="false"/>
          <w:i w:val="false"/>
          <w:color w:val="000000"/>
          <w:sz w:val="22"/>
        </w:rPr>
        <w:t>Emission guidelines and compliance schedules for the control of designated pollutants from affected commercial and industrial solid waste incinerators that commenced construction on or before November 30, 1999, shall be in accordance with requirements established in Subpart III of 40 CFR Part 62 and 40 CFR §62.3916 as adopted through August 24,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Emission guidelines and compliance times for existing sewage sludge incineration units (40 CFR Part 62, Subpart LLL). </w:t>
      </w:r>
      <w:r>
        <w:rPr>
          <w:rFonts w:ascii="Times New Roman" w:hAnsi="Times New Roman"/>
          <w:b w:val="false"/>
          <w:i w:val="false"/>
          <w:color w:val="000000"/>
          <w:sz w:val="22"/>
        </w:rPr>
        <w:t>Emission guidelines and compliance times for control of designated pollutants from affected sewage sludge incineration (SSI) units that commenced construction or reconstruction on or before October 14, 2010, shall be in accordance with federal standards established in Subpart LLL of 40 CFR Part 62 as amended through April 29,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w:t>
      </w:r>
      <w:r>
        <w:rPr>
          <w:rFonts w:ascii="Times New Roman" w:hAnsi="Times New Roman"/>
          <w:b w:val="false"/>
          <w:i w:val="false"/>
          <w:color w:val="000000"/>
          <w:sz w:val="22"/>
        </w:rPr>
        <w:t> </w:t>
      </w:r>
      <w:r>
        <w:rPr>
          <w:rFonts w:ascii="Times New Roman" w:hAnsi="Times New Roman"/>
          <w:b w:val="false"/>
          <w:i/>
          <w:color w:val="000000"/>
          <w:sz w:val="22"/>
        </w:rPr>
        <w:t xml:space="preserve">Calculation of emission limitations based upon stack height. </w:t>
      </w:r>
      <w:r>
        <w:rPr>
          <w:rFonts w:ascii="Times New Roman" w:hAnsi="Times New Roman"/>
          <w:b w:val="false"/>
          <w:i w:val="false"/>
          <w:color w:val="000000"/>
          <w:sz w:val="22"/>
        </w:rPr>
        <w:t>This rule sets limits for the maximum stack height credit to be used in ambient air quality modeling for the purpose of setting an emission limitation and calculating the air quality impact of a source. The rule does not limit the actual physical stack height for any source.</w:t>
      </w:r>
    </w:p>
    <w:p>
      <w:pPr>
        <w:spacing w:before="0" w:after="0"/>
        <w:ind w:left="120"/>
        <w:jc w:val="both"/>
      </w:pPr>
      <w:r>
        <w:rPr>
          <w:rFonts w:ascii="Times New Roman" w:hAnsi="Times New Roman"/>
          <w:b w:val="false"/>
          <w:i w:val="false"/>
          <w:color w:val="000000"/>
          <w:sz w:val="22"/>
        </w:rPr>
        <w:t>For the purpose of this subrule, definitions of “stack,” “a stack in existence,” “dispersion technique,” “good engineering practice (GEP) stack height,” “nearby” and “excessive concentration” as set forth in 40 CFR §51.100(ff) through (kk) as amended through June 14, 1996,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567—23.2</w:t>
      </w:r>
      <w:r>
        <w:rPr>
          <w:rFonts w:ascii="Times New Roman" w:hAnsi="Times New Roman"/>
          <w:b/>
          <w:i w:val="false"/>
          <w:color w:val="000000"/>
          <w:sz w:val="22"/>
        </w:rPr>
        <w:t xml:space="preserve">(455B) </w:t>
      </w:r>
      <w:r>
        <w:rPr>
          <w:rFonts w:ascii="Times New Roman" w:hAnsi="Times New Roman"/>
          <w:b/>
          <w:i w:val="false"/>
          <w:color w:val="000000"/>
          <w:sz w:val="22"/>
        </w:rPr>
        <w:t xml:space="preserve">Open burning. </w:t>
      </w:r>
      <w:r>
        <w:rPr>
          <w:rFonts w:ascii="Times New Roman" w:hAnsi="Times New Roman"/>
          <w:b w:val="false"/>
          <w:i w:val="false"/>
          <w:color w:val="000000"/>
          <w:sz w:val="22"/>
        </w:rPr>
        <w:t xml:space="preserve">For the purpose of these rules and the rules in </w:t>
      </w:r>
      <w:hyperlink r:id="rId37">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the following terms shall, unless otherwise noted, have the meaning indicated in this rule. The definitions set out in Iowa Code sections </w:t>
      </w:r>
      <w:hyperlink r:id="rId39">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455B.131</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are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“Backyard burning” </w:t>
      </w:r>
      <w:r>
        <w:rPr>
          <w:rFonts w:ascii="Times New Roman" w:hAnsi="Times New Roman"/>
          <w:b w:val="false"/>
          <w:i w:val="false"/>
          <w:color w:val="000000"/>
          <w:sz w:val="22"/>
        </w:rPr>
        <w:t>means the disposal of residential waste by open burning on the premises of the property where such waste is generated.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“Garbage” </w:t>
      </w:r>
      <w:r>
        <w:rPr>
          <w:rFonts w:ascii="Times New Roman" w:hAnsi="Times New Roman"/>
          <w:b w:val="false"/>
          <w:i w:val="false"/>
          <w:color w:val="000000"/>
          <w:sz w:val="22"/>
        </w:rPr>
        <w:t>means all solid and semisolid putrescible and nonputrescible animal and vegetable wastes resulting from the handling, preparing, cooking, storing and serving of food or of material intended for use as food but excluding recognized industrial by-products.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“Landscape waste” </w:t>
      </w:r>
      <w:r>
        <w:rPr>
          <w:rFonts w:ascii="Times New Roman" w:hAnsi="Times New Roman"/>
          <w:b w:val="false"/>
          <w:i w:val="false"/>
          <w:color w:val="000000"/>
          <w:sz w:val="22"/>
        </w:rPr>
        <w:t>means any vegetable or plant wastes except garbage. The term includes trees, tree trimmings, branches, stumps, brush, weeds, leaves, grass, shrubbery and yard trimmings.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burning” </w:t>
      </w:r>
      <w:r>
        <w:rPr>
          <w:rFonts w:ascii="Times New Roman" w:hAnsi="Times New Roman"/>
          <w:b w:val="false"/>
          <w:i w:val="false"/>
          <w:color w:val="000000"/>
          <w:sz w:val="22"/>
        </w:rPr>
        <w:t>means any burning of combustible materials where the products of combustion are emitted into the open air without passing through a chimney or stack.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“Refuse” </w:t>
      </w:r>
      <w:r>
        <w:rPr>
          <w:rFonts w:ascii="Times New Roman" w:hAnsi="Times New Roman"/>
          <w:b w:val="false"/>
          <w:i w:val="false"/>
          <w:color w:val="000000"/>
          <w:sz w:val="22"/>
        </w:rPr>
        <w:t>means garbage, rubbish and all other putrescible and nonputrescible wastes, except sewage and water-carried trade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waste” </w:t>
      </w:r>
      <w:r>
        <w:rPr>
          <w:rFonts w:ascii="Times New Roman" w:hAnsi="Times New Roman"/>
          <w:b w:val="false"/>
          <w:i w:val="false"/>
          <w:color w:val="000000"/>
          <w:sz w:val="22"/>
        </w:rPr>
        <w:t>means any refuse generated on the premises as a result of residential activities. The term includes landscape waste grown on the premises or deposited thereon by the elements, but excludes garbage, tires, trade wastes, and any locally recyclable goods or plastics.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“Rubbish” </w:t>
      </w:r>
      <w:r>
        <w:rPr>
          <w:rFonts w:ascii="Times New Roman" w:hAnsi="Times New Roman"/>
          <w:b w:val="false"/>
          <w:i w:val="false"/>
          <w:color w:val="000000"/>
          <w:sz w:val="22"/>
        </w:rPr>
        <w:t>means all waste materials of nonputrescible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waste” </w:t>
      </w:r>
      <w:r>
        <w:rPr>
          <w:rFonts w:ascii="Times New Roman" w:hAnsi="Times New Roman"/>
          <w:b w:val="false"/>
          <w:i w:val="false"/>
          <w:color w:val="000000"/>
          <w:sz w:val="22"/>
        </w:rPr>
        <w:t>means any refuse resulting from the prosecution of any trade, business, industry, commercial venture (including farming and ranching), or utility or service activity, and any governmental or institutional activity, whether or not for profit.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No person shall allow, cause or permit open burning of combustible materials, except as provided in </w:t>
      </w:r>
      <w:hyperlink r:id="rId42">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color w:val="000000"/>
          <w:sz w:val="22"/>
        </w:rPr>
        <w:t xml:space="preserve">Variances from rules. </w:t>
      </w:r>
      <w:r>
        <w:rPr>
          <w:rFonts w:ascii="Times New Roman" w:hAnsi="Times New Roman"/>
          <w:b w:val="false"/>
          <w:i w:val="false"/>
          <w:color w:val="000000"/>
          <w:sz w:val="22"/>
        </w:rPr>
        <w:t xml:space="preserve">Any person wishing to conduct open burning of materials not exempted in </w:t>
      </w:r>
      <w:hyperlink r:id="rId44">
        <w:r>
          <w:rPr>
            <w:rStyle w:val="Hyperlink"/>
            <w:rFonts w:ascii="Times New Roman" w:hAnsi="Times New Roman"/>
            <w:b w:val="false"/>
            <w:i w:val="false"/>
            <w:color w:val="000000"/>
            <w:sz w:val="22"/>
          </w:rPr>
          <w:t>23.2(3)</w:t>
        </w:r>
      </w:hyperlink>
      <w:r>
        <w:rPr>
          <w:rFonts w:ascii="Times New Roman" w:hAnsi="Times New Roman"/>
          <w:b w:val="false"/>
          <w:i w:val="false"/>
          <w:color w:val="000000"/>
          <w:sz w:val="22"/>
        </w:rPr>
        <w:t xml:space="preserve"> may make application for a variance as specified in </w:t>
      </w:r>
      <w:hyperlink r:id="rId45">
        <w:r>
          <w:rPr>
            <w:rStyle w:val="Hyperlink"/>
            <w:rFonts w:ascii="Times New Roman" w:hAnsi="Times New Roman"/>
            <w:b w:val="false"/>
            <w:i w:val="false"/>
            <w:color w:val="000000"/>
            <w:sz w:val="22"/>
          </w:rPr>
          <w:t>567—subrule 21.2(1)</w:t>
        </w:r>
      </w:hyperlink>
      <w:r>
        <w:rPr>
          <w:rFonts w:ascii="Times New Roman" w:hAnsi="Times New Roman"/>
          <w:b w:val="false"/>
          <w:i w:val="false"/>
          <w:color w:val="000000"/>
          <w:sz w:val="22"/>
        </w:rPr>
        <w:t xml:space="preserve">. In addition to requiring the information specified under </w:t>
      </w:r>
      <w:hyperlink r:id="rId46">
        <w:r>
          <w:rPr>
            <w:rStyle w:val="Hyperlink"/>
            <w:rFonts w:ascii="Times New Roman" w:hAnsi="Times New Roman"/>
            <w:b w:val="false"/>
            <w:i w:val="false"/>
            <w:color w:val="000000"/>
            <w:sz w:val="22"/>
          </w:rPr>
          <w:t>567—subrule 21.2(1)</w:t>
        </w:r>
      </w:hyperlink>
      <w:r>
        <w:rPr>
          <w:rFonts w:ascii="Times New Roman" w:hAnsi="Times New Roman"/>
          <w:b w:val="false"/>
          <w:i w:val="false"/>
          <w:color w:val="000000"/>
          <w:sz w:val="22"/>
        </w:rPr>
        <w:t>, the director may require any person applying for a variance from the open burning rules to submit adequate documentation to allow the director to assess whether granting the variance will hinder attainment or maintenance of a National Ambient Air Quality Standard (NAAQS).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The open burning exemptions specified in this subrule do not provide exemptions from any other applicable environmental regulations. In particular, the exemptions contained in this subrule do not absolve any person from compliance with the rules for solid waste disposal, including ash disposal, and solid waste permitting contained in </w:t>
      </w:r>
      <w:hyperlink r:id="rId47">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48">
        <w:r>
          <w:rPr>
            <w:rStyle w:val="Hyperlink"/>
            <w:rFonts w:ascii="Times New Roman" w:hAnsi="Times New Roman"/>
            <w:b w:val="false"/>
            <w:i w:val="false"/>
            <w:color w:val="000000"/>
            <w:sz w:val="22"/>
          </w:rPr>
          <w:t>130</w:t>
        </w:r>
      </w:hyperlink>
      <w:r>
        <w:rPr>
          <w:rFonts w:ascii="Times New Roman" w:hAnsi="Times New Roman"/>
          <w:b w:val="false"/>
          <w:i w:val="false"/>
          <w:color w:val="000000"/>
          <w:sz w:val="22"/>
        </w:rPr>
        <w:t xml:space="preserve"> or the rules for storm water runoff and storm water permitting contained in </w:t>
      </w:r>
      <w:hyperlink r:id="rId49">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The following exemptions apply unless prohibited by local ordinances or regulations, except that the exemptions for open burning of trees and tree trimming (</w:t>
      </w:r>
      <w:hyperlink r:id="rId51">
        <w:r>
          <w:rPr>
            <w:rStyle w:val="Hyperlink"/>
            <w:rFonts w:ascii="Times New Roman" w:hAnsi="Times New Roman"/>
            <w:b w:val="false"/>
            <w:i w:val="false"/>
            <w:color w:val="000000"/>
            <w:sz w:val="22"/>
          </w:rPr>
          <w:t>23.2(3)</w:t>
        </w:r>
      </w:hyperlink>
      <w:r>
        <w:rPr>
          <w:rFonts w:ascii="Times New Roman" w:hAnsi="Times New Roman"/>
          <w:b w:val="false"/>
          <w:i/>
          <w:color w:val="000000"/>
          <w:sz w:val="22"/>
        </w:rPr>
        <w:t>“b”</w:t>
      </w:r>
      <w:r>
        <w:rPr>
          <w:rFonts w:ascii="Times New Roman" w:hAnsi="Times New Roman"/>
          <w:b w:val="false"/>
          <w:i w:val="false"/>
          <w:color w:val="000000"/>
          <w:sz w:val="22"/>
        </w:rPr>
        <w:t>), landscape waste (</w:t>
      </w:r>
      <w:hyperlink r:id="rId52">
        <w:r>
          <w:rPr>
            <w:rStyle w:val="Hyperlink"/>
            <w:rFonts w:ascii="Times New Roman" w:hAnsi="Times New Roman"/>
            <w:b w:val="false"/>
            <w:i w:val="false"/>
            <w:color w:val="000000"/>
            <w:sz w:val="22"/>
          </w:rPr>
          <w:t>23.2(3)</w:t>
        </w:r>
      </w:hyperlink>
      <w:r>
        <w:rPr>
          <w:rFonts w:ascii="Times New Roman" w:hAnsi="Times New Roman"/>
          <w:b w:val="false"/>
          <w:i/>
          <w:color w:val="000000"/>
          <w:sz w:val="22"/>
        </w:rPr>
        <w:t>“d”</w:t>
      </w:r>
      <w:r>
        <w:rPr>
          <w:rFonts w:ascii="Times New Roman" w:hAnsi="Times New Roman"/>
          <w:b w:val="false"/>
          <w:i w:val="false"/>
          <w:color w:val="000000"/>
          <w:sz w:val="22"/>
        </w:rPr>
        <w:t>), residential waste (</w:t>
      </w:r>
      <w:hyperlink r:id="rId53">
        <w:r>
          <w:rPr>
            <w:rStyle w:val="Hyperlink"/>
            <w:rFonts w:ascii="Times New Roman" w:hAnsi="Times New Roman"/>
            <w:b w:val="false"/>
            <w:i w:val="false"/>
            <w:color w:val="000000"/>
            <w:sz w:val="22"/>
          </w:rPr>
          <w:t>23.2(3)</w:t>
        </w:r>
      </w:hyperlink>
      <w:r>
        <w:rPr>
          <w:rFonts w:ascii="Times New Roman" w:hAnsi="Times New Roman"/>
          <w:b w:val="false"/>
          <w:i/>
          <w:color w:val="000000"/>
          <w:sz w:val="22"/>
        </w:rPr>
        <w:t>“f”</w:t>
      </w:r>
      <w:r>
        <w:rPr>
          <w:rFonts w:ascii="Times New Roman" w:hAnsi="Times New Roman"/>
          <w:b w:val="false"/>
          <w:i w:val="false"/>
          <w:color w:val="000000"/>
          <w:sz w:val="22"/>
        </w:rPr>
        <w:t>), agricultural structures (</w:t>
      </w:r>
      <w:hyperlink r:id="rId54">
        <w:r>
          <w:rPr>
            <w:rStyle w:val="Hyperlink"/>
            <w:rFonts w:ascii="Times New Roman" w:hAnsi="Times New Roman"/>
            <w:b w:val="false"/>
            <w:i w:val="false"/>
            <w:color w:val="000000"/>
            <w:sz w:val="22"/>
          </w:rPr>
          <w:t>23.2(3)</w:t>
        </w:r>
      </w:hyperlink>
      <w:r>
        <w:rPr>
          <w:rFonts w:ascii="Times New Roman" w:hAnsi="Times New Roman"/>
          <w:b w:val="false"/>
          <w:i/>
          <w:color w:val="000000"/>
          <w:sz w:val="22"/>
        </w:rPr>
        <w:t>“i”</w:t>
      </w:r>
      <w:r>
        <w:rPr>
          <w:rFonts w:ascii="Times New Roman" w:hAnsi="Times New Roman"/>
          <w:b w:val="false"/>
          <w:i w:val="false"/>
          <w:color w:val="000000"/>
          <w:sz w:val="22"/>
        </w:rPr>
        <w:t>), and demolished buildings (</w:t>
      </w:r>
      <w:hyperlink r:id="rId55">
        <w:r>
          <w:rPr>
            <w:rStyle w:val="Hyperlink"/>
            <w:rFonts w:ascii="Times New Roman" w:hAnsi="Times New Roman"/>
            <w:b w:val="false"/>
            <w:i w:val="false"/>
            <w:color w:val="000000"/>
            <w:sz w:val="22"/>
          </w:rPr>
          <w:t>23.2(3)</w:t>
        </w:r>
      </w:hyperlink>
      <w:r>
        <w:rPr>
          <w:rFonts w:ascii="Times New Roman" w:hAnsi="Times New Roman"/>
          <w:b w:val="false"/>
          <w:i/>
          <w:color w:val="000000"/>
          <w:sz w:val="22"/>
        </w:rPr>
        <w:t>“j”</w:t>
      </w:r>
      <w:r>
        <w:rPr>
          <w:rFonts w:ascii="Times New Roman" w:hAnsi="Times New Roman"/>
          <w:b w:val="false"/>
          <w:i w:val="false"/>
          <w:color w:val="000000"/>
          <w:sz w:val="22"/>
        </w:rPr>
        <w:t xml:space="preserve">) are unavailable within the cities of Cedar Rapids, Marion, Hiawatha, Council Bluffs, Carter Lake, Des Moines, West Des Moines, Clive, Windsor Heights, Urbandale, and Pleasant Hill.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Disaster rubbish. </w:t>
      </w:r>
      <w:r>
        <w:rPr>
          <w:rFonts w:ascii="Times New Roman" w:hAnsi="Times New Roman"/>
          <w:b w:val="false"/>
          <w:i w:val="false"/>
          <w:color w:val="000000"/>
          <w:sz w:val="22"/>
        </w:rPr>
        <w:t>The open burning of rubbish, including landscape waste, for the duration of the community disaster period in cases where an officially declared emergency condition exists. Burning of any structures or demolished structures shall be conducted in accordance with 40 CFR Section 61.145 as amended through January 16, 1991, which is the “Standard for Demolition and Renovation” of the asbestos National Emission Standard for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Trees and tree trimmings. </w:t>
      </w:r>
      <w:r>
        <w:rPr>
          <w:rFonts w:ascii="Times New Roman" w:hAnsi="Times New Roman"/>
          <w:b w:val="false"/>
          <w:i w:val="false"/>
          <w:color w:val="000000"/>
          <w:sz w:val="22"/>
        </w:rPr>
        <w:t xml:space="preserve">The open burning of trees and tree trimmings not originated on the premises provided that the burning site is operated by a local governmental entity, the burning site is fenced and access is controlled, burning is conducted on a regularly scheduled basis and is supervised at all times, burning is conducted only when weather conditions are favorable with respect to surrounding property, and the burning site is limited to areas at least one-quarter mile from any inhabited building unless a written waiver in the form of an affidavit is submitted by the owner of the building to the department and to the local governmental entity prior to the first instance of open burning at the site which occurs after November 13, 1996. The written waiver shall become effective only upon recording in the office of the recorder of deeds of the county in which the inhabited building is located. However, when the open burning of trees and tree trimmings causes air pollution as defined in Iowa Code section </w:t>
      </w:r>
      <w:hyperlink r:id="rId56">
        <w:r>
          <w:rPr>
            <w:rStyle w:val="Hyperlink"/>
            <w:rFonts w:ascii="Times New Roman" w:hAnsi="Times New Roman"/>
            <w:b w:val="false"/>
            <w:i w:val="false"/>
            <w:color w:val="000000"/>
            <w:sz w:val="22"/>
          </w:rPr>
          <w:t>455B.131(3)</w:t>
        </w:r>
      </w:hyperlink>
      <w:r>
        <w:rPr>
          <w:rFonts w:ascii="Times New Roman" w:hAnsi="Times New Roman"/>
          <w:b w:val="false"/>
          <w:i w:val="false"/>
          <w:color w:val="000000"/>
          <w:sz w:val="22"/>
        </w:rPr>
        <w:t>, the department may take appropriate action to secure relocation of the burning operation. Rubber tires shall not be used to ignite trees and tree trimmings.</w:t>
      </w:r>
    </w:p>
    <w:p>
      <w:pPr>
        <w:spacing w:before="0" w:after="0"/>
        <w:ind w:left="120"/>
        <w:jc w:val="both"/>
      </w:pPr>
      <w:r>
        <w:rPr>
          <w:rFonts w:ascii="Times New Roman" w:hAnsi="Times New Roman"/>
          <w:b w:val="false"/>
          <w:i w:val="false"/>
          <w:color w:val="000000"/>
          <w:sz w:val="22"/>
        </w:rPr>
        <w:t>This exemption shall not apply within the area classified as the PM10 (inhalable) particulate Group II area of Mason City. This Group II area is described as follows: the area in Cerro Gordo County, Iowa, in Lincoln Township including Sections 13, 24 and 25; in Lime Creek Township including Sections 18, 19, 20, 21, 27, 28, 29, 30, 31, 32, 33, 34 and 35; in Mason Township the W ½ of Section 1, Sections 2, 3, 4, 5, 8, 9, the N ½ of Section 11, the NW ¼ of Section 12, the N ½ of Section 16, the N ½ of Section 17 and the portions of Sections 10 and 15 north and west of the line from U.S. Highway 18 south on Kentucky Avenue to 9th Street SE; thence west on 9th Street SE to the Minneapolis and St.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Louis railroad tracks; thence south on Minneapolis and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Louis railroad tracks to 19th Street SE; thence west on 19th Street SE to the section line between Sections 15 and 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Flare stacks. </w:t>
      </w:r>
      <w:r>
        <w:rPr>
          <w:rFonts w:ascii="Times New Roman" w:hAnsi="Times New Roman"/>
          <w:b w:val="false"/>
          <w:i w:val="false"/>
          <w:color w:val="000000"/>
          <w:sz w:val="22"/>
        </w:rPr>
        <w:t xml:space="preserve">The open burning or flaring of waste gases, providing such open burning or flaring is conducted in compliance with </w:t>
      </w:r>
      <w:hyperlink r:id="rId57">
        <w:r>
          <w:rPr>
            <w:rStyle w:val="Hyperlink"/>
            <w:rFonts w:ascii="Times New Roman" w:hAnsi="Times New Roman"/>
            <w:b w:val="false"/>
            <w:i w:val="false"/>
            <w:color w:val="000000"/>
            <w:sz w:val="22"/>
          </w:rPr>
          <w:t>23.3(2)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23.3(3)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Landscape waste. </w:t>
      </w:r>
      <w:r>
        <w:rPr>
          <w:rFonts w:ascii="Times New Roman" w:hAnsi="Times New Roman"/>
          <w:b w:val="false"/>
          <w:i w:val="false"/>
          <w:color w:val="000000"/>
          <w:sz w:val="22"/>
        </w:rPr>
        <w:t>The disposal by open burning of landscape waste originating on the premises. However, the burning of landscape waste produced in clearing, grubbing and construction operations shall be limited to areas located at least one-fourth mile from any building inhabited by other than the landowner or tenant conducting the open burning. Rubber tires shall not be used to ignite landscape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Recreational fires. </w:t>
      </w:r>
      <w:r>
        <w:rPr>
          <w:rFonts w:ascii="Times New Roman" w:hAnsi="Times New Roman"/>
          <w:b w:val="false"/>
          <w:i w:val="false"/>
          <w:color w:val="000000"/>
          <w:sz w:val="22"/>
        </w:rPr>
        <w:t xml:space="preserve">Open fires for cooking, heating, recreation and ceremonies, provided they comply with </w:t>
      </w:r>
      <w:hyperlink r:id="rId59">
        <w:r>
          <w:rPr>
            <w:rStyle w:val="Hyperlink"/>
            <w:rFonts w:ascii="Times New Roman" w:hAnsi="Times New Roman"/>
            <w:b w:val="false"/>
            <w:i w:val="false"/>
            <w:color w:val="000000"/>
            <w:sz w:val="22"/>
          </w:rPr>
          <w:t>23.3(2)</w:t>
        </w:r>
      </w:hyperlink>
      <w:r>
        <w:rPr>
          <w:rFonts w:ascii="Times New Roman" w:hAnsi="Times New Roman"/>
          <w:b w:val="false"/>
          <w:i/>
          <w:color w:val="000000"/>
          <w:sz w:val="22"/>
        </w:rPr>
        <w:t>“d.”</w:t>
      </w:r>
      <w:r>
        <w:rPr>
          <w:rFonts w:ascii="Times New Roman" w:hAnsi="Times New Roman"/>
          <w:b w:val="false"/>
          <w:i w:val="false"/>
          <w:color w:val="000000"/>
          <w:sz w:val="22"/>
        </w:rPr>
        <w:t xml:space="preserve"> Burning rubber tires is prohibited from this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Residential waste. </w:t>
      </w:r>
      <w:r>
        <w:rPr>
          <w:rFonts w:ascii="Times New Roman" w:hAnsi="Times New Roman"/>
          <w:b w:val="false"/>
          <w:i w:val="false"/>
          <w:color w:val="000000"/>
          <w:sz w:val="22"/>
        </w:rPr>
        <w:t>Backyard burning of residential waste at dwellings of four-family units or less. The adoption of more restrictive ordinances or regulations of a governing body of the political subdivision, relating to control of backyard burning, shall not be precluded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Training fires. </w:t>
      </w:r>
      <w:r>
        <w:rPr>
          <w:rFonts w:ascii="Times New Roman" w:hAnsi="Times New Roman"/>
          <w:b w:val="false"/>
          <w:i w:val="false"/>
          <w:color w:val="000000"/>
          <w:sz w:val="22"/>
        </w:rPr>
        <w:t xml:space="preserve">For purposes of </w:t>
      </w:r>
      <w:hyperlink r:id="rId60">
        <w:r>
          <w:rPr>
            <w:rStyle w:val="Hyperlink"/>
            <w:rFonts w:ascii="Times New Roman" w:hAnsi="Times New Roman"/>
            <w:b w:val="false"/>
            <w:i w:val="false"/>
            <w:color w:val="000000"/>
            <w:sz w:val="22"/>
          </w:rPr>
          <w:t>23.2(3)</w:t>
        </w:r>
      </w:hyperlink>
      <w:r>
        <w:rPr>
          <w:rFonts w:ascii="Times New Roman" w:hAnsi="Times New Roman"/>
          <w:b w:val="false"/>
          <w:i w:val="false"/>
          <w:color w:val="000000"/>
          <w:sz w:val="22"/>
        </w:rPr>
        <w:t>, a “training fire” is a fire set for the purposes of conducting bona fide training of public or industrial employees in firefighting methods. For purposes of this paragraph, “bona fide training” means training that is conducted according to the National Fire Protection Association 1403 Standard on Live Fire Training Evolutions (2002 Edition) or a comparable training fire standard. A training fire may be conducted, provided that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training fire on a building is conducted with the building structurally intact.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training fire does not include the controlled burn of a demolished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training fire is to be conducted on a building, written notification is provided to the department on DNR Form 542-8010, Notification of an Iowa Training Fire-Demolition or a Controlled Burn of a Demolished Building, and is postmarked or delivered to the director at least ten working days before such action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in accordance with 40 CFR Section 61.145, “Standard for Demolition and Renovation” of the asbestos National Emission Standard for Hazardous Air Pollutants (NESHAP) as amended through January 16,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asbestos-containing materials shall be removed prior to the training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Asphalt roofing may be burned in the training fire only if notification to the director contains testing results indicating that none of the layers of asphalt roofing contain asbestos. During each calendar year, each fire department may conduct no more than two training fires on buildings where asphalt roofing has not been removed, provided that for each of those training fires the asphalt roofing material present has been tested to ensure that it does not contain asbestos. Each fire department’s limit on the burning of asphalt roofing shall include both training fires and the controlled burning of a demolished building, as specified in </w:t>
      </w:r>
      <w:hyperlink r:id="rId61">
        <w:r>
          <w:rPr>
            <w:rStyle w:val="Hyperlink"/>
            <w:rFonts w:ascii="Times New Roman" w:hAnsi="Times New Roman"/>
            <w:b w:val="false"/>
            <w:i w:val="false"/>
            <w:color w:val="000000"/>
            <w:sz w:val="22"/>
          </w:rPr>
          <w:t>23.2(3)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Rubber tires shall not be burned during a training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Paper or plastic pesticide containers and seed corn bags. </w:t>
      </w:r>
      <w:r>
        <w:rPr>
          <w:rFonts w:ascii="Times New Roman" w:hAnsi="Times New Roman"/>
          <w:b w:val="false"/>
          <w:i w:val="false"/>
          <w:color w:val="000000"/>
          <w:sz w:val="22"/>
        </w:rPr>
        <w:t>The disposal by open burning of paper or plastic pesticide containers (except those formerly containing organic forms of beryllium, selenium, mercury, lead, cadmium or arsenic) and seed corn bags resulting from farming activities occurring on the premises. Such open burning shall be limited to areas located at least one-fourth mile from any building inhabited by other than the landowner or tenant conducting the open burning, livestock area, wildlife area, or water source. The amount of paper or plastic pesticide containers and seed corn bags that can be disposed of by open burning shall not exceed one day’s accumulation or 50 pounds, whichever is less. However, when the burning of paper or plastic pesticide containers or seed corn bags causes a nuisance, the director may take action to secure relocation of the burning operation. Since the concentration levels of pesticide combustion products near the fire may be hazardous, the person conducting the open burning should take precautions to avoid inhalation of the pesticide combustion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Agricultural structures. </w:t>
      </w:r>
      <w:r>
        <w:rPr>
          <w:rFonts w:ascii="Times New Roman" w:hAnsi="Times New Roman"/>
          <w:b w:val="false"/>
          <w:i w:val="false"/>
          <w:color w:val="000000"/>
          <w:sz w:val="22"/>
        </w:rPr>
        <w:t>The open burning of agricultural structures, provided that the open burning occurs on the premises and, for agricultural structures located within a city or town, at least one-fourth mile from any building inhabited by a person other than the landowner, a tenant, or an employee of the landowner or tenant conducting the open burning unless a written waiver in the form of an affidavit is submitted by the owner of the building to the department prior to the open burning; all chemicals and asphalt roofing are removed; burning is conducted only when weather conditions are favorable with respect to surrounding property; and permission from the local fire chief is secured in advance of the burning. Rubber tires shall not be used to ignite agricultural structures. The asbestos National Emission Standard for Hazardous Air Pollutants (NESHAP) as amended through January 16, 1991, requires the burning of agricultural structures to be conducted in accordance with 40 CFR Section 61.145, “Standard for Demolition and Renovation.”</w:t>
      </w:r>
    </w:p>
    <w:p>
      <w:pPr>
        <w:spacing w:before="0" w:after="0"/>
        <w:ind w:left="120"/>
        <w:jc w:val="both"/>
      </w:pPr>
      <w:r>
        <w:rPr>
          <w:rFonts w:ascii="Times New Roman" w:hAnsi="Times New Roman"/>
          <w:b w:val="false"/>
          <w:i w:val="false"/>
          <w:color w:val="000000"/>
          <w:sz w:val="22"/>
        </w:rPr>
        <w:t>For the purposes of this subrule, “agricultural structures” means barns, machine sheds, storage cribs, animal confinement buildings, and homes located on the premises and used in conjunction with crop production, livestock or poultry raising and feeding operations. “Agricultural structures,” for asbestos NESHAP purposes, includes all of the above, with the exception of a single residential structure on the premises having four or fewer dwelling units, which has been used only for residential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Controlled burning of a demolished building. </w:t>
      </w:r>
      <w:r>
        <w:rPr>
          <w:rFonts w:ascii="Times New Roman" w:hAnsi="Times New Roman"/>
          <w:b w:val="false"/>
          <w:i w:val="false"/>
          <w:color w:val="000000"/>
          <w:sz w:val="22"/>
        </w:rPr>
        <w:t xml:space="preserve">A city, as “city” is defined in Iowa Code section </w:t>
      </w:r>
      <w:hyperlink r:id="rId62">
        <w:r>
          <w:rPr>
            <w:rStyle w:val="Hyperlink"/>
            <w:rFonts w:ascii="Times New Roman" w:hAnsi="Times New Roman"/>
            <w:b w:val="false"/>
            <w:i w:val="false"/>
            <w:color w:val="000000"/>
            <w:sz w:val="22"/>
          </w:rPr>
          <w:t>362.2(4)</w:t>
        </w:r>
      </w:hyperlink>
      <w:r>
        <w:rPr>
          <w:rFonts w:ascii="Times New Roman" w:hAnsi="Times New Roman"/>
          <w:b w:val="false"/>
          <w:i w:val="false"/>
          <w:color w:val="000000"/>
          <w:sz w:val="22"/>
        </w:rPr>
        <w:t xml:space="preserve">, with approval of its council, as “council” is defined in Iowa Code section </w:t>
      </w:r>
      <w:hyperlink r:id="rId63">
        <w:r>
          <w:rPr>
            <w:rStyle w:val="Hyperlink"/>
            <w:rFonts w:ascii="Times New Roman" w:hAnsi="Times New Roman"/>
            <w:b w:val="false"/>
            <w:i w:val="false"/>
            <w:color w:val="000000"/>
            <w:sz w:val="22"/>
          </w:rPr>
          <w:t>362.2(8)</w:t>
        </w:r>
      </w:hyperlink>
      <w:r>
        <w:rPr>
          <w:rFonts w:ascii="Times New Roman" w:hAnsi="Times New Roman"/>
          <w:b w:val="false"/>
          <w:i w:val="false"/>
          <w:color w:val="000000"/>
          <w:sz w:val="22"/>
        </w:rPr>
        <w:t>, may conduct a controlled burn of a demolished building. A city is the only party that may conduct such a burn and is responsible for ensuring that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Prohibition. The controlled burning of a demolished building is prohibited within the city limits of Cedar Rapids, Marion, Hiawatha, Council Bluffs, Carter Lake, Des Moines, West Des Moines, Clive, Windsor Heights, Urbandale, Pleasant Hill, Buffalo, Davenport, Mason City or any other area where area-specific state implementation plans require the control of particulate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requirements. For each building proposed to be burned, the city fire department or a city official, on behalf of the city, shall submit to the department a completed notification postmarked at least 10 working days prior to commencing demolition and at least 30 days before the proposed controlled burn commences. Documentation of city council approval shall be submitted with the notification. Information required to be provided shall include the exact location of the burn site; the approximate distance to the nearest neighboring residence or business; the method used by the city to notify nearby residents of the proposed burn; an explanation of why alternative methods of demolition debris management are not being used; and information required by 40 CFR Section 61.145, “Standard for Demolition and Renovation” of the asbestos National Emission Standard for Hazardous Air Pollutants (NESHAP), as amended through January 16, 1991. Notification shall be provided on DNR Form 542-8010, Notification of an Iowa Training Fire-Demolition or a Controlled Burn of a Demolished Building. For burns conducted outside the city limits, the city shall send to the chairperson of the applicable county board a copy of the completed DNR notification Form 542-8010 and documentation of city council approval. Notification to the county board shall be postmarked, faxed or sent by email at least 30 days before the proposed controlled burn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Asbestos removal requirements. All asbestos-containing materials shall be removed before the building to be burned is demolished. The department may require proof that any applicable inspection, notification, removal and demolition occurred, or will occur, in accordance with 40 CFR Section 61.145, “Standard for Demolition and Renovation” of the asbestos NESHAP, as amended through January 16,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asphalt roofing. During each calendar year, each city shall conduct no more than two controlled burns of a demolished building in which asphalt roofing has not been removed, provided that for each controlled burn of a demolished building the asphalt roofing material present has been tested to ensure that it does not contain asbestos. Each city’s limit on the burning of asphalt roofing shall include both the controlled burning of a demolished building and training fires, as specified in </w:t>
      </w:r>
      <w:hyperlink r:id="rId64">
        <w:r>
          <w:rPr>
            <w:rStyle w:val="Hyperlink"/>
            <w:rFonts w:ascii="Times New Roman" w:hAnsi="Times New Roman"/>
            <w:b w:val="false"/>
            <w:i w:val="false"/>
            <w:color w:val="000000"/>
            <w:sz w:val="22"/>
          </w:rPr>
          <w:t>23.2(3)</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size limit. For each proposed controlled burn located within the city limits, more than one demolished building may be included in the burn, provided that the sum total of all building material to be burned at a designated site does not exceed 1,700 square feet in size. For a controlled burn site located outside the city limits, the sum total of all building material to be burned, per day, may not exceed 1,700 square feet in size. For purposes of this subparagraph, “square feet” includes both finished and unfinished basements and excludes unfinished attics, carports, attached garages, and porches that are not protected from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Time of day requirements. The controlled burning of a demolished building may be conducted only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6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only when weather conditions are favorable with respect to surrounding property. The city shall adequately schedule and sufficiently control the burn to ensure that burning is completed by 6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Prohibited materials. Rubber tires, chemicals, furniture, carpeting, household appliances, vinyl products (such as flooring or siding), trade waste, garbage, rubbish, landscape waste, residential waste, and other nonstructural materials shall not be burned.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Limits on the number and location of burns. For burns conducted within the city limits, each city may undertake no more than one controlled burn of demolished building material in every 0.6-mile-radius circle during each calendar year. For burn sites established outside the city limits, each city shall undertake no more than one controlled burn of demolished building material per day. A burn site outside the city limits must be located at least 0.6 of a mile from any building inhabited by a person, as “person” is defined in Iowa Code section </w:t>
      </w:r>
      <w:hyperlink r:id="rId65">
        <w:r>
          <w:rPr>
            <w:rStyle w:val="Hyperlink"/>
            <w:rFonts w:ascii="Times New Roman" w:hAnsi="Times New Roman"/>
            <w:b w:val="false"/>
            <w:i w:val="false"/>
            <w:color w:val="000000"/>
            <w:sz w:val="22"/>
          </w:rPr>
          <w:t>362.2(17)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Requirements for burn access and supervision. The city shall control access to all demolished building burn sites. Representatives of the city who are city employees or who are hired by the city shall supervise the burning of demolished building material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Recordkeeping requirements. The city shall retain at least one copy of all notifications and supplementary information required to be sent to the department under </w:t>
      </w:r>
      <w:hyperlink r:id="rId66">
        <w:r>
          <w:rPr>
            <w:rStyle w:val="Hyperlink"/>
            <w:rFonts w:ascii="Times New Roman" w:hAnsi="Times New Roman"/>
            <w:b w:val="false"/>
            <w:i w:val="false"/>
            <w:color w:val="000000"/>
            <w:sz w:val="22"/>
          </w:rPr>
          <w:t>23.2(3)</w:t>
        </w:r>
      </w:hyperlink>
      <w:r>
        <w:rPr>
          <w:rFonts w:ascii="Times New Roman" w:hAnsi="Times New Roman"/>
          <w:b w:val="false"/>
          <w:i/>
          <w:color w:val="000000"/>
          <w:sz w:val="22"/>
        </w:rPr>
        <w:t>“j”</w:t>
      </w:r>
      <w:r>
        <w:rPr>
          <w:rFonts w:ascii="Times New Roman" w:hAnsi="Times New Roman"/>
          <w:b w:val="false"/>
          <w:i w:val="false"/>
          <w:color w:val="000000"/>
          <w:sz w:val="22"/>
        </w:rPr>
        <w:t xml:space="preserve">(2). Additionally, the city shall maintain a map of the exact location of each burn site and supporting documentation showing the date of each demolished building burn and the square feet of building material burned on each date. All maps, notifications and associated records shall be maintained by the city clerk, as “clerk” is defined in Iowa Code section </w:t>
      </w:r>
      <w:hyperlink r:id="rId67">
        <w:r>
          <w:rPr>
            <w:rStyle w:val="Hyperlink"/>
            <w:rFonts w:ascii="Times New Roman" w:hAnsi="Times New Roman"/>
            <w:b w:val="false"/>
            <w:i w:val="false"/>
            <w:color w:val="000000"/>
            <w:sz w:val="22"/>
          </w:rPr>
          <w:t>362.2(7)</w:t>
        </w:r>
      </w:hyperlink>
      <w:r>
        <w:rPr>
          <w:rFonts w:ascii="Times New Roman" w:hAnsi="Times New Roman"/>
          <w:b w:val="false"/>
          <w:i w:val="false"/>
          <w:color w:val="000000"/>
          <w:sz w:val="22"/>
        </w:rPr>
        <w:t>, for a period of at least three years and shall be made available for inspection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Variance from this paragraph. In accordance with </w:t>
      </w:r>
      <w:hyperlink r:id="rId68">
        <w:r>
          <w:rPr>
            <w:rStyle w:val="Hyperlink"/>
            <w:rFonts w:ascii="Times New Roman" w:hAnsi="Times New Roman"/>
            <w:b w:val="false"/>
            <w:i w:val="false"/>
            <w:color w:val="000000"/>
            <w:sz w:val="22"/>
          </w:rPr>
          <w:t>567—subrules 21.2(1)</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a city may apply for a variance from the specific conditions for controlled burning of a demolished building and may request that the director conduct a review of the ambient air impacts of the request. The director shall approve or deny the request in accordance with </w:t>
      </w:r>
      <w:hyperlink r:id="rId70">
        <w:r>
          <w:rPr>
            <w:rStyle w:val="Hyperlink"/>
            <w:rFonts w:ascii="Times New Roman" w:hAnsi="Times New Roman"/>
            <w:b w:val="false"/>
            <w:i w:val="false"/>
            <w:color w:val="000000"/>
            <w:sz w:val="22"/>
          </w:rPr>
          <w:t>567—subrule 21.2(4)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other applicable environmental regulations. Compliance with the exemption requirements in this paragraph shall not absolve a city of the responsibility to comply with any other applicable environmental regulations. In particular, a city conducting a controlled burn of a demolished building shall comply with all applicable solid waste disposal, including ash disposal, and solid waste permitting rules contained in </w:t>
      </w:r>
      <w:hyperlink r:id="rId71">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72">
        <w:r>
          <w:rPr>
            <w:rStyle w:val="Hyperlink"/>
            <w:rFonts w:ascii="Times New Roman" w:hAnsi="Times New Roman"/>
            <w:b w:val="false"/>
            <w:i w:val="false"/>
            <w:color w:val="000000"/>
            <w:sz w:val="22"/>
          </w:rPr>
          <w:t>130</w:t>
        </w:r>
      </w:hyperlink>
      <w:r>
        <w:rPr>
          <w:rFonts w:ascii="Times New Roman" w:hAnsi="Times New Roman"/>
          <w:b w:val="false"/>
          <w:i w:val="false"/>
          <w:color w:val="000000"/>
          <w:sz w:val="22"/>
        </w:rPr>
        <w:t xml:space="preserve">, as well as all applicable storm water discharge and storm water permitting rules contained in </w:t>
      </w:r>
      <w:hyperlink r:id="rId73">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567—23.3</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Specific contaminants.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emission standards contained in this rule shall apply to each source operation unless performance standard for the process is specified in </w:t>
      </w:r>
      <w:hyperlink r:id="rId75">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through </w:t>
      </w:r>
      <w:hyperlink r:id="rId76">
        <w:r>
          <w:rPr>
            <w:rStyle w:val="Hyperlink"/>
            <w:rFonts w:ascii="Times New Roman" w:hAnsi="Times New Roman"/>
            <w:b w:val="false"/>
            <w:i w:val="false"/>
            <w:color w:val="000000"/>
            <w:sz w:val="22"/>
          </w:rPr>
          <w:t>23.1(5)</w:t>
        </w:r>
      </w:hyperlink>
      <w:r>
        <w:rPr>
          <w:rFonts w:ascii="Times New Roman" w:hAnsi="Times New Roman"/>
          <w:b w:val="false"/>
          <w:i w:val="false"/>
          <w:color w:val="000000"/>
          <w:sz w:val="22"/>
        </w:rPr>
        <w:t>, in which case the performance standard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color w:val="000000"/>
          <w:sz w:val="22"/>
        </w:rPr>
        <w:t xml:space="preserve">Particulate matter. </w:t>
      </w:r>
      <w:r>
        <w:rPr>
          <w:rFonts w:ascii="Times New Roman" w:hAnsi="Times New Roman"/>
          <w:b w:val="false"/>
          <w:i w:val="false"/>
          <w:color w:val="000000"/>
          <w:sz w:val="22"/>
        </w:rPr>
        <w:t xml:space="preserve">No person shall cause or allow the emission of particulate matter from any source in excess of the emission standards specified in this chapter, except as provided in </w:t>
      </w:r>
      <w:hyperlink r:id="rId77">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emission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sources constructed, modified or reconstructed on or after July 21, 1999, the emission of particulate matter from any process shall not exceed an emission standard of 0.1 grain per dry standard cubic foot (dscf)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sources constructed, modified or reconstructed prior to July 21, 1999, the emission of particulate matter from any process shall not exceed the amount determined from the equations below, or amount specified in a permit if based on an emission standard of 0.1 grain per standard cubic foot of exhaust gas.</w:t>
      </w:r>
    </w:p>
    <w:p>
      <w:pPr>
        <w:spacing w:before="0" w:after="0"/>
        <w:ind w:left="120"/>
        <w:jc w:val="both"/>
      </w:pPr>
      <w:r>
        <w:rPr>
          <w:rFonts w:ascii="Times New Roman" w:hAnsi="Times New Roman"/>
          <w:b w:val="false"/>
          <w:i w:val="false"/>
          <w:color w:val="000000"/>
          <w:sz w:val="22"/>
        </w:rPr>
        <w:t>The process weight rates up to 60,000 lb/hr shall be accomplished by the use of the equation:</w:t>
      </w:r>
    </w:p>
    <w:p>
      <w:pPr>
        <w:spacing w:before="0" w:after="0"/>
        <w:ind w:left="120"/>
        <w:jc w:val="center"/>
      </w:pPr>
      <w:r>
        <w:rPr>
          <w:rFonts w:ascii="Times New Roman" w:hAnsi="Times New Roman"/>
          <w:b w:val="false"/>
          <w:i w:val="false"/>
          <w:color w:val="000000"/>
          <w:sz w:val="22"/>
        </w:rPr>
        <w:t>E=4.10 × P</w:t>
      </w:r>
      <w:r>
        <w:rPr>
          <w:rFonts w:ascii="Times New Roman" w:hAnsi="Times New Roman"/>
          <w:b w:val="false"/>
          <w:i w:val="false"/>
          <w:color w:val="000000"/>
          <w:sz w:val="18"/>
          <w:vertAlign w:val="superscript"/>
        </w:rPr>
        <w:t>0.67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and interpolation and extrapolation of the data for process weight rates in excess of 60,000 lb/hr shall be accomplished by use of the equation:</w:t>
      </w:r>
    </w:p>
    <w:p>
      <w:pPr>
        <w:spacing w:before="0" w:after="0"/>
        <w:ind w:left="120"/>
        <w:jc w:val="center"/>
      </w:pPr>
      <w:r>
        <w:rPr>
          <w:rFonts w:ascii="Times New Roman" w:hAnsi="Times New Roman"/>
          <w:b w:val="false"/>
          <w:i w:val="false"/>
          <w:color w:val="000000"/>
          <w:sz w:val="22"/>
        </w:rPr>
        <w:t>E=55.0 × P</w:t>
      </w:r>
      <w:r>
        <w:rPr>
          <w:rFonts w:ascii="Times New Roman" w:hAnsi="Times New Roman"/>
          <w:b w:val="false"/>
          <w:i w:val="false"/>
          <w:color w:val="000000"/>
          <w:sz w:val="18"/>
          <w:vertAlign w:val="superscript"/>
        </w:rPr>
        <w:t>0.11</w:t>
      </w:r>
      <w:r>
        <w:rPr>
          <w:rFonts w:ascii="Times New Roman" w:hAnsi="Times New Roman"/>
          <w:b w:val="false"/>
          <w:i w:val="false"/>
          <w:color w:val="000000"/>
          <w:sz w:val="22"/>
        </w:rPr>
        <w:t>—40,</w:t>
      </w:r>
    </w:p>
    <w:p>
      <w:pPr>
        <w:spacing w:before="0" w:after="0"/>
        <w:ind w:left="120"/>
        <w:jc w:val="both"/>
      </w:pPr>
      <w:r>
        <w:rPr>
          <w:rFonts w:ascii="Times New Roman" w:hAnsi="Times New Roman"/>
          <w:b w:val="false"/>
          <w:i w:val="false"/>
          <w:color w:val="000000"/>
          <w:sz w:val="22"/>
        </w:rPr>
        <w:t>where E = rate of emission in lb/hr, and</w:t>
      </w:r>
    </w:p>
    <w:p>
      <w:pPr>
        <w:spacing w:before="0" w:after="0"/>
        <w:ind w:left="120"/>
        <w:jc w:val="both"/>
      </w:pPr>
      <w:r>
        <w:rPr>
          <w:rFonts w:ascii="Times New Roman" w:hAnsi="Times New Roman"/>
          <w:b w:val="false"/>
          <w:i w:val="false"/>
          <w:color w:val="000000"/>
          <w:sz w:val="22"/>
        </w:rPr>
        <w:t>P = process weight in tons/hr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Combustion for indirect heating. </w:t>
      </w:r>
      <w:r>
        <w:rPr>
          <w:rFonts w:ascii="Times New Roman" w:hAnsi="Times New Roman"/>
          <w:b w:val="false"/>
          <w:i w:val="false"/>
          <w:color w:val="000000"/>
          <w:sz w:val="22"/>
        </w:rPr>
        <w:t>Emissions of particulate matter from the combustion of fuel for indirect heating or for power generation shall be limited by the ASME Standard APS-1, Second Edition, November 1968, “Recommended Guide for the Control of Dust Emission—Combustion for Indirect Heat Exchangers.” For the purpose of this paragraph, the allowable emissions shall be calculated from equation (15) in that standard, with Comax2=50 micrograms per cubic meter. The maximum ground level dust concentrations designated are above the background level. For plants with 4,000 million Btu/hour input or more, the “a” factor shall be 1.0. In plants with less than 4,000 million Btu/hour input, appropriate “a” factors, less than 1.0, shall be applied. Pertinent correction factors, as specified in the standard, shall be applied for installations with multiple stacks. However, for fuel-burning units in operation on January 13, 1976, the maximum allowable emissions calculated under APS-1 for the facility’s equipment configuration on January 13, 1976, shall not be increased even if the changes in the equipment or stack configuration would otherwise allow a recalculation and a higher maximum allowable emission under APS-1.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Outside any standard metropolitan statistical area, the maximum allowable emissions from each stack, irrespective of stack height, shall be 0.8 pounds of particulates per million Btu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Inside any standard metropolitan statistical area, the maximum allowable emission from each stack, irrespective of stack height, shall be 0.6 pounds of particulates per million Btu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new fossil fuel-fired steam generating unit of more than 250 million Btu per hour heat input, </w:t>
      </w:r>
      <w:hyperlink r:id="rId78">
        <w:r>
          <w:rPr>
            <w:rStyle w:val="Hyperlink"/>
            <w:rFonts w:ascii="Times New Roman" w:hAnsi="Times New Roman"/>
            <w:b w:val="false"/>
            <w:i w:val="false"/>
            <w:color w:val="000000"/>
            <w:sz w:val="22"/>
          </w:rPr>
          <w:t>23.1(2)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apply. For a new unit of between 150 million and 250 million (inclusive) Btu per hour heat input, the maximum allowable emissions from such new unit shall be 0.2 pounds of particulates per million Btu of heat input. For a new unit of less than 150 million Btu per hour heat input, the maximum allowable emissions from such new unit shall be 0.6 pounds of particulates per million Btu of heat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Measurements of emissions from a particulate source will be made in accordance with the provisions of </w:t>
      </w:r>
      <w:hyperlink r:id="rId79">
        <w:r>
          <w:rPr>
            <w:rStyle w:val="Hyperlink"/>
            <w:rFonts w:ascii="Times New Roman" w:hAnsi="Times New Roman"/>
            <w:b w:val="false"/>
            <w:i w:val="false"/>
            <w:color w:val="000000"/>
            <w:sz w:val="22"/>
          </w:rPr>
          <w:t>567—Chapter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fuel-burning sources in operation prior to July 29, 1977, which are not subject to </w:t>
      </w:r>
      <w:hyperlink r:id="rId80">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and which significantly impact a primary or secondary particulate standard nonattainment area, the emission limitations specified in this subparagraph apply. A significant impact shall be equal to or exceeding 5 micrograms of particulate matter per cubic meter of air (24-hour average) or 1 microgram of particulate matter per cubic meter of air (annual average) determined by an EPA-approved single source dispersion model using allowable emission rates and five-year worst-case meteorological conditions. In the case where two or more boilers discharge into a common stack, the applicable stack emission limitation shall be based upon the heat input of the largest operating boiler. The plantwide allowable emission limitation shall be the weighted average of the allowable emission limitations for each stack or the applicable APS-1 plantwide standard as determined under </w:t>
      </w:r>
      <w:hyperlink r:id="rId81">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whichever is more stringent.</w:t>
      </w:r>
    </w:p>
    <w:p>
      <w:pPr>
        <w:spacing w:before="0" w:after="0"/>
        <w:ind w:left="120"/>
        <w:jc w:val="both"/>
      </w:pPr>
      <w:r>
        <w:rPr>
          <w:rFonts w:ascii="Times New Roman" w:hAnsi="Times New Roman"/>
          <w:b w:val="false"/>
          <w:i w:val="false"/>
          <w:color w:val="000000"/>
          <w:sz w:val="22"/>
        </w:rPr>
        <w:t>The maximum allowable emission rate for a single stack with a total heat input capacity less than 250 million Btu per hour shall be 0.60 pound of particulate matter per million Btu heat input, the maximum allowable emission rate for a single stack with a total heat input capacity greater than or equal to 250 million Btu per hour and less than 500 million Btu per hour shall be 0.40 pound of particulate matter per million Btu heat input, and the maximum allowable emission rate for a single stack with a total heat input capacity greater than or equal to 500 million Btu per hour shall be 0.30 pound of particulate matter per million Btu heat input. All sources regulated under this subparagraph shall demonstrate compliance by October 1, 1981; however, a source is considered to be in compliance with this subparagraph if by October 1, 1981, it is on a compliance schedule to be completed as expeditiously as possible, but no later than December 31, 1982.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Fugitive dust.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Attainment and unclassified areas. A person shall take reasonable precautions to prevent particulate matter from becoming airborne in quantities sufficient to cause a nuisance as defined in Iowa Code section </w:t>
      </w:r>
      <w:hyperlink r:id="rId82">
        <w:r>
          <w:rPr>
            <w:rStyle w:val="Hyperlink"/>
            <w:rFonts w:ascii="Times New Roman" w:hAnsi="Times New Roman"/>
            <w:b w:val="false"/>
            <w:i w:val="false"/>
            <w:color w:val="000000"/>
            <w:sz w:val="22"/>
          </w:rPr>
          <w:t>657.1</w:t>
        </w:r>
      </w:hyperlink>
      <w:r>
        <w:rPr>
          <w:rFonts w:ascii="Times New Roman" w:hAnsi="Times New Roman"/>
          <w:b w:val="false"/>
          <w:i w:val="false"/>
          <w:color w:val="000000"/>
          <w:sz w:val="22"/>
        </w:rPr>
        <w:t xml:space="preserve"> when the person allows, causes or permits any materials to be handled, transported or stored or a building, its appurtenances or a construction haul road to be used, constructed, altered, repaired or demolished, with the exception of farming operations or dust generated by ordinary travel on unpaved roads. Ordinary travel includes routine traffic and road maintenance activities such as scarifying, compacting, transporting road maintenance surfacing material, and scraping of the unpaved public road surface. All persons, with the above exceptions, shall take reasonable precautions to prevent the discharge of visible emissions of fugitive dusts beyond the lot line of the property on which the emissions originate. The public highway authority shall be responsible for taking corrective action in those cases where said authority has received complaints of or has actual knowledge of dust conditions that require abatement pursuant to this subrule. Reasonable precautions may include but not be limited to the following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 where practical, of water or chemicals for control of dusts in the demolition of existing buildings or structures, construction operations, the grading of roads or the clearing of land.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Application of suitable materials, such as but not limited to asphalt, oil, water or chemicals on unpaved roads, material stockpiles, race tracks and other surfaces which can give rise to airborne dusts.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Installation and use of containment or control equipment, to enclose or otherwise limit the emissions resulting from the handling and transfer of dusty materials, such as but not limited to grain, fertilizer or limestone.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Covering, at all times when in motion, open-bodied vehicles transporting materials likely to give rise to airborne dusts.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Prompt removal of earth or other material from paved streets or to which earth or other material has been transported by trucking or earth-moving equipment, erosion by water or other means.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Reducing the speed of vehicles traveling over on-property surfaces as necessary to minimize the generation of airborne dusts.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Nonattainment areas. </w:t>
      </w:r>
      <w:hyperlink r:id="rId83">
        <w:r>
          <w:rPr>
            <w:rStyle w:val="Hyperlink"/>
            <w:rFonts w:ascii="Times New Roman" w:hAnsi="Times New Roman"/>
            <w:b w:val="false"/>
            <w:i w:val="false"/>
            <w:color w:val="000000"/>
            <w:sz w:val="22"/>
          </w:rPr>
          <w:t>23.3(2)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notwithstanding, no person shall allow, cause or permit any visible emission of fugitive dust in a nonattainment area for particulate matter to go beyond the lot line of the property on which a traditional source is located without taking reasonable precautions to prevent emission. “Traditional source” means a source category for which a particulate emission standard has been established in </w:t>
      </w:r>
      <w:hyperlink r:id="rId84">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23.3(2)</w:t>
        </w:r>
        <w:r>
          <w:rPr>
            <w:rFonts w:ascii="Times New Roman" w:hAnsi="Times New Roman"/>
            <w:b w:val="false"/>
            <w:i/>
            <w:color w:val="000000"/>
            <w:sz w:val="22"/>
          </w:rPr>
          <w:t>“a,”</w:t>
        </w:r>
      </w:hyperlink>
      <w:hyperlink r:id="rId86">
        <w:r>
          <w:rPr>
            <w:rStyle w:val="Hyperlink"/>
            <w:rFonts w:ascii="Times New Roman" w:hAnsi="Times New Roman"/>
            <w:b w:val="false"/>
            <w:i w:val="false"/>
            <w:color w:val="000000"/>
            <w:sz w:val="22"/>
          </w:rPr>
          <w:t>23.3(2)</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hyperlink r:id="rId87">
        <w:r>
          <w:rPr>
            <w:rStyle w:val="Hyperlink"/>
            <w:rFonts w:ascii="Times New Roman" w:hAnsi="Times New Roman"/>
            <w:b w:val="false"/>
            <w:i w:val="false"/>
            <w:color w:val="000000"/>
            <w:sz w:val="22"/>
          </w:rPr>
          <w:t>567—23.4</w:t>
        </w:r>
      </w:hyperlink>
      <w:r>
        <w:rPr>
          <w:rFonts w:ascii="Times New Roman" w:hAnsi="Times New Roman"/>
          <w:b w:val="false"/>
          <w:i w:val="false"/>
          <w:color w:val="000000"/>
          <w:sz w:val="22"/>
        </w:rPr>
        <w:t xml:space="preserve">(455B) and includes a quarry operation, haul road or parking lot associated with a traditional source. This paragraph does not modify the emission standard stated in </w:t>
      </w:r>
      <w:hyperlink r:id="rId88">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23.3(2)</w:t>
        </w:r>
        <w:r>
          <w:rPr>
            <w:rFonts w:ascii="Times New Roman" w:hAnsi="Times New Roman"/>
            <w:b w:val="false"/>
            <w:i/>
            <w:color w:val="000000"/>
            <w:sz w:val="22"/>
          </w:rPr>
          <w:t>“a,”</w:t>
        </w:r>
      </w:hyperlink>
      <w:hyperlink r:id="rId90">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91">
        <w:r>
          <w:rPr>
            <w:rStyle w:val="Hyperlink"/>
            <w:rFonts w:ascii="Times New Roman" w:hAnsi="Times New Roman"/>
            <w:b w:val="false"/>
            <w:i w:val="false"/>
            <w:color w:val="000000"/>
            <w:sz w:val="22"/>
          </w:rPr>
          <w:t>567—23.4</w:t>
        </w:r>
      </w:hyperlink>
      <w:r>
        <w:rPr>
          <w:rFonts w:ascii="Times New Roman" w:hAnsi="Times New Roman"/>
          <w:b w:val="false"/>
          <w:i w:val="false"/>
          <w:color w:val="000000"/>
          <w:sz w:val="22"/>
        </w:rPr>
        <w:t>(455B) but rather establishes a separate requirement for fugitive dust from such sources. For guidance on the types of controls which may constitute reasonable precautions, see “Identification of Techniques for the Control of Industrial Fugitive Dust Emissions,” as adopted by the commission on May 19, 1981, which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Redesignated areas. Reasonable precautions implemented pursuant to the nonattainment area provisions of </w:t>
      </w:r>
      <w:hyperlink r:id="rId92">
        <w:r>
          <w:rPr>
            <w:rStyle w:val="Hyperlink"/>
            <w:rFonts w:ascii="Times New Roman" w:hAnsi="Times New Roman"/>
            <w:b w:val="false"/>
            <w:i w:val="false"/>
            <w:color w:val="000000"/>
            <w:sz w:val="22"/>
          </w:rPr>
          <w:t>23.3(2)</w:t>
        </w:r>
      </w:hyperlink>
      <w:r>
        <w:rPr>
          <w:rFonts w:ascii="Times New Roman" w:hAnsi="Times New Roman"/>
          <w:b w:val="false"/>
          <w:i/>
          <w:color w:val="000000"/>
          <w:sz w:val="22"/>
        </w:rPr>
        <w:t>“c”</w:t>
      </w:r>
      <w:r>
        <w:rPr>
          <w:rFonts w:ascii="Times New Roman" w:hAnsi="Times New Roman"/>
          <w:b w:val="false"/>
          <w:i w:val="false"/>
          <w:color w:val="000000"/>
          <w:sz w:val="22"/>
        </w:rPr>
        <w:t>(2) shall remain in effect if the nonattainment area is redesignated to either attainment or unclassified after March 6,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Visible emissions. </w:t>
      </w:r>
      <w:r>
        <w:rPr>
          <w:rFonts w:ascii="Times New Roman" w:hAnsi="Times New Roman"/>
          <w:b w:val="false"/>
          <w:i w:val="false"/>
          <w:color w:val="000000"/>
          <w:sz w:val="22"/>
        </w:rPr>
        <w:t xml:space="preserve">No person shall allow, cause or permit the emission of visible air contaminants into the atmosphere from any equipment, internal combustion engine, premise fire, open fire or stack, equal to or in excess of 40 percent opacity or that level specified in a construction permit, except as provided below and in </w:t>
      </w:r>
      <w:hyperlink r:id="rId93">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Residential heating equipment. Residential heating equipment serving dwellings of four family units or less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Gasoline-powered vehicles. No person shall allow, cause or permit the emission of visible air contaminants from gasoline-powered motor vehicles for longer than five consecutive seconds.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Diesel-powered vehicles. No person shall allow, cause or permit the emission of visible air contaminants from diesel-powered motor vehicles in excess of 40 percent opacity for longer than five consecutive seconds.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Diesel-powered locomotives. No person shall allow, cause or permit the emission of visible air contaminants from diesel-powered locomotives in excess of 40 percent opacity, except for a maximum period of 40 consecutive seconds during acceleration under load, or for a period of four consecutive minutes when a locomotive is loaded after a period of idling.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Startup and testing. Initial start and warmup of a cold engine; the testing of an engine for trouble, diagnosis or repair; or engine research and development activities,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Uncombined water. The provisions of this paragraph shall apply to any emission that would be in violation of these provisions except for the presence of uncombined water, such as condensed water vapor.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color w:val="000000"/>
          <w:sz w:val="22"/>
        </w:rPr>
        <w:t xml:space="preserve">Sulfur compounds. </w:t>
      </w:r>
      <w:r>
        <w:rPr>
          <w:rFonts w:ascii="Times New Roman" w:hAnsi="Times New Roman"/>
          <w:b w:val="false"/>
          <w:i w:val="false"/>
          <w:color w:val="000000"/>
          <w:sz w:val="22"/>
        </w:rPr>
        <w:t>The provisions of this subrule shall apply to any installation from which sulfur compounds are emitted into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Sulfur dioxide from use of solid fuels.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emission of sulfur dioxide into the atmosphere from an existing solid fuel-burning unit, in an amount greater than 6 pounds, replicated maximum three-hour average, per million Btu of heat input if such unit is located within the following counties: Black Hawk, Clinton, Des Moines, Dubuque, Jackson, Lee, Linn, Louisa, Muscatine and Scott.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allow, cause, or permit the emission of sulfur dioxide into the atmosphere from an existing solid fuel-burning unit, in an amount greater than 5 pounds, replicated maximum three-hour average, per million Btu of heat input if such unit is located within the remaining 89 counties of the state not listed in </w:t>
      </w:r>
      <w:hyperlink r:id="rId94">
        <w:r>
          <w:rPr>
            <w:rStyle w:val="Hyperlink"/>
            <w:rFonts w:ascii="Times New Roman" w:hAnsi="Times New Roman"/>
            <w:b w:val="false"/>
            <w:i w:val="false"/>
            <w:color w:val="000000"/>
            <w:sz w:val="22"/>
          </w:rPr>
          <w:t>23.3(3)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emission of sulfur dioxide into the atmosphere from any new solid fuel-burning unit that has a capacity of 250 million Btu or less per hour heat input, in an amount greater than 6 pounds, replicated maximum three-hour average, per million Btu of heat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Sulfur dioxide from use of liquid fuels.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combustion of number 1 or number 2 fuel oil exceeding a sulfur content of 0.5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emission of sulfur dioxide into the atmosphere in an amount greater than 2.5 pounds of sulfur dioxide, replicated maximum three-hour average, per million Btu of heat input from a liquid fuel-burning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Sulfur dioxide from sulfuric acid manufacture. </w:t>
      </w:r>
      <w:r>
        <w:rPr>
          <w:rFonts w:ascii="Times New Roman" w:hAnsi="Times New Roman"/>
          <w:b w:val="false"/>
          <w:i w:val="false"/>
          <w:color w:val="000000"/>
          <w:sz w:val="22"/>
        </w:rPr>
        <w:t>After January 1, 1975, no person shall allow, cause or permit the emission of sulfur dioxide from an existing sulfuric acid manufacturing plant in excess of 30 pounds of sulfur dioxide, maximum three-hour average, per ton of product calculated as 100 percent sulfuric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Acid mist from sulfuric acid manufacture. </w:t>
      </w:r>
      <w:r>
        <w:rPr>
          <w:rFonts w:ascii="Times New Roman" w:hAnsi="Times New Roman"/>
          <w:b w:val="false"/>
          <w:i w:val="false"/>
          <w:color w:val="000000"/>
          <w:sz w:val="22"/>
        </w:rPr>
        <w:t>After January 1, 1974, no person shall allow, cause or permit the emission of acid mist calculated as sulfuric acid from an existing sulfuric acid manufacturing plant in excess of 0.5 pounds, maximum three-hour average, per ton of product calculated as 100 percent sulfuric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processes capable of emitting sulfur dioxide. </w:t>
      </w:r>
      <w:r>
        <w:rPr>
          <w:rFonts w:ascii="Times New Roman" w:hAnsi="Times New Roman"/>
          <w:b w:val="false"/>
          <w:i w:val="false"/>
          <w:color w:val="000000"/>
          <w:sz w:val="22"/>
        </w:rPr>
        <w:t>After January 1, 1974, no person shall allow, cause or permit the emission of sulfur dioxide from any process, other than sulfuric acid manufacture, in excess of 500 parts per million, based on volume. This paragraph shall not apply to devices which have been installed for air pollution abatement purposes where it is demonstrated by the owner of the source that the ambient air quality standards are not being exceeded.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567—23.4</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Specific processes.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provisions of this rule shall not apply to those facilities for which performance standards are specified in </w:t>
      </w:r>
      <w:hyperlink r:id="rId95">
        <w:r>
          <w:rPr>
            <w:rStyle w:val="Hyperlink"/>
            <w:rFonts w:ascii="Times New Roman" w:hAnsi="Times New Roman"/>
            <w:b w:val="false"/>
            <w:i w:val="false"/>
            <w:color w:val="000000"/>
            <w:sz w:val="22"/>
          </w:rPr>
          <w:t>23.1(2)</w:t>
        </w:r>
      </w:hyperlink>
      <w:r>
        <w:rPr>
          <w:rFonts w:ascii="Times New Roman" w:hAnsi="Times New Roman"/>
          <w:b w:val="false"/>
          <w:i w:val="false"/>
          <w:color w:val="000000"/>
          <w:sz w:val="22"/>
        </w:rPr>
        <w:t xml:space="preserve">. The emission standards specified in this rule shall apply and those specified in </w:t>
      </w:r>
      <w:hyperlink r:id="rId96">
        <w:r>
          <w:rPr>
            <w:rStyle w:val="Hyperlink"/>
            <w:rFonts w:ascii="Times New Roman" w:hAnsi="Times New Roman"/>
            <w:b w:val="false"/>
            <w:i w:val="false"/>
            <w:color w:val="000000"/>
            <w:sz w:val="22"/>
          </w:rPr>
          <w:t>23.3(2)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not apply to each process of the types listed in the following subrules, except as provided below.</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Whenever the director determines that a process complying with the emission standard prescribed in this rule is causing or will cause air pollution in a specific area of the state, the specific emission standard may be suspended and compliance with the provisions of </w:t>
      </w:r>
      <w:hyperlink r:id="rId98">
        <w:r>
          <w:rPr>
            <w:rStyle w:val="Hyperlink"/>
            <w:rFonts w:ascii="Times New Roman" w:hAnsi="Times New Roman"/>
            <w:b w:val="false"/>
            <w:i w:val="false"/>
            <w:color w:val="000000"/>
            <w:sz w:val="22"/>
          </w:rPr>
          <w:t>567—23.3</w:t>
        </w:r>
      </w:hyperlink>
      <w:r>
        <w:rPr>
          <w:rFonts w:ascii="Times New Roman" w:hAnsi="Times New Roman"/>
          <w:b w:val="false"/>
          <w:i w:val="false"/>
          <w:color w:val="000000"/>
          <w:sz w:val="22"/>
        </w:rPr>
        <w:t>(455B) may be required in such instance.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color w:val="000000"/>
          <w:sz w:val="22"/>
        </w:rPr>
        <w:t xml:space="preserve">Asphalt batching plants. </w:t>
      </w:r>
      <w:r>
        <w:rPr>
          <w:rFonts w:ascii="Times New Roman" w:hAnsi="Times New Roman"/>
          <w:b w:val="false"/>
          <w:i w:val="false"/>
          <w:color w:val="000000"/>
          <w:sz w:val="22"/>
        </w:rPr>
        <w:t>No person shall cause, allow or permit the operation of an asphalt batching plant in a manner such that the particulate matter discharged to the atmosphere exceeds 0.15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color w:val="000000"/>
          <w:sz w:val="22"/>
        </w:rPr>
        <w:t xml:space="preserve">Cement kilns. </w:t>
      </w:r>
      <w:r>
        <w:rPr>
          <w:rFonts w:ascii="Times New Roman" w:hAnsi="Times New Roman"/>
          <w:b w:val="false"/>
          <w:i w:val="false"/>
          <w:color w:val="000000"/>
          <w:sz w:val="22"/>
        </w:rPr>
        <w:t>Cement kilns shall be equipped with air pollution control devices to reduce the particulate matter in the gas discharged to the atmosphere to no more than 0.3 percent of the particulate matter entering the air pollution control device. Regardless of the degree of efficiency of the air pollution control device, particulate matter discharged from such kilns shall not exceed 0.1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w:t>
      </w:r>
      <w:r>
        <w:rPr>
          <w:rFonts w:ascii="Times New Roman" w:hAnsi="Times New Roman"/>
          <w:b w:val="false"/>
          <w:i w:val="false"/>
          <w:color w:val="000000"/>
          <w:sz w:val="22"/>
        </w:rPr>
        <w:t> </w:t>
      </w:r>
      <w:r>
        <w:rPr>
          <w:rFonts w:ascii="Times New Roman" w:hAnsi="Times New Roman"/>
          <w:b w:val="false"/>
          <w:i/>
          <w:color w:val="000000"/>
          <w:sz w:val="22"/>
        </w:rPr>
        <w:t xml:space="preserve">Cupolas for metallurgical melting. </w:t>
      </w:r>
      <w:r>
        <w:rPr>
          <w:rFonts w:ascii="Times New Roman" w:hAnsi="Times New Roman"/>
          <w:b w:val="false"/>
          <w:i w:val="false"/>
          <w:color w:val="000000"/>
          <w:sz w:val="22"/>
        </w:rPr>
        <w:t xml:space="preserve">The emissions of particulate matter from all new foundry cupolas, and from all existing foundry cupolas with a process weight rate in excess of 20,000 pounds per hour, shall not exceed the amount specified in </w:t>
      </w:r>
      <w:hyperlink r:id="rId99">
        <w:r>
          <w:rPr>
            <w:rStyle w:val="Hyperlink"/>
            <w:rFonts w:ascii="Times New Roman" w:hAnsi="Times New Roman"/>
            <w:b w:val="false"/>
            <w:i w:val="false"/>
            <w:color w:val="000000"/>
            <w:sz w:val="22"/>
          </w:rPr>
          <w:t>23.3(2)</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as provided in </w:t>
      </w:r>
      <w:hyperlink r:id="rId100">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emissions of particulate matter from all existing foundry cupolas with a process weight rate less than or equal to 20,000 pounds per hour shall not exceed the amount determined from the table below, except as provided in </w:t>
      </w:r>
      <w:hyperlink r:id="rId101">
        <w:r>
          <w:rPr>
            <w:rStyle w:val="Hyperlink"/>
            <w:rFonts w:ascii="Times New Roman" w:hAnsi="Times New Roman"/>
            <w:b w:val="false"/>
            <w:i w:val="false"/>
            <w:color w:val="000000"/>
            <w:sz w:val="22"/>
          </w:rPr>
          <w:t>567—Chapter 21</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val="false"/>
          <w:i w:val="false"/>
          <w:color w:val="000000"/>
          <w:sz w:val="22"/>
        </w:rPr>
        <w:t>ALLOWABLE EMISSIONS FROM</w:t>
      </w:r>
    </w:p>
    <w:p>
      <w:pPr>
        <w:spacing w:before="60" w:after="0"/>
        <w:ind w:left="120"/>
        <w:jc w:val="center"/>
      </w:pPr>
      <w:r>
        <w:rPr>
          <w:rFonts w:ascii="Times New Roman" w:hAnsi="Times New Roman"/>
          <w:b w:val="false"/>
          <w:i w:val="false"/>
          <w:color w:val="000000"/>
          <w:sz w:val="22"/>
        </w:rPr>
        <w:t>EXISTING SMALL FOUNDRY CUPOLAS</w:t>
      </w:r>
    </w:p>
    <w:tbl>
      <w:tblPr>
        <w:tblW w:w="5000" w:type="pct"/>
        <w:tblCellSpacing w:w="0" w:type="auto"/>
        <w:tblBorders>
          <w:top w:val="none"/>
          <w:left w:val="none"/>
          <w:bottom w:val="none"/>
          <w:right w:val="none"/>
          <w:insideH w:val="none"/>
          <w:insideV w:val="none"/>
        </w:tblBorders>
        <w:tblLayout w:type="fixed"/>
      </w:tblPr>
      <w:tblGrid>
        <w:gridCol w:w="2334"/>
        <w:gridCol w:w="2718"/>
        <w:gridCol w:w="1086"/>
        <w:gridCol w:w="2718"/>
        <w:gridCol w:w="2334"/>
      </w:tblGrid>
      <w:tr>
        <w:trPr>
          <w:trHeight w:val="225"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Process weight rate</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Allowable emission</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(lb/hr)</w:t>
            </w:r>
          </w:p>
        </w:tc>
        <w:tc>
          <w:tcPr>
            <w:tcW w:w="108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(lb/hr)</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3.05</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4.70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6.35</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9.58</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11.30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12.90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14.30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16.65</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18.70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21.60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23.40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20,000</w:t>
            </w:r>
          </w:p>
        </w:tc>
        <w:tc>
          <w:tcPr>
            <w:tcW w:w="10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25.10</w:t>
            </w:r>
          </w:p>
        </w:tc>
        <w:tc>
          <w:tcPr>
            <w:tcW w:w="2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w:t>
      </w:r>
      <w:r>
        <w:rPr>
          <w:rFonts w:ascii="Times New Roman" w:hAnsi="Times New Roman"/>
          <w:b w:val="false"/>
          <w:i w:val="false"/>
          <w:color w:val="000000"/>
          <w:sz w:val="22"/>
        </w:rPr>
        <w:t> </w:t>
      </w:r>
      <w:r>
        <w:rPr>
          <w:rFonts w:ascii="Times New Roman" w:hAnsi="Times New Roman"/>
          <w:b w:val="false"/>
          <w:i/>
          <w:color w:val="000000"/>
          <w:sz w:val="22"/>
        </w:rPr>
        <w:t xml:space="preserve">Electric furnaces for metallurgical melting. </w:t>
      </w:r>
      <w:r>
        <w:rPr>
          <w:rFonts w:ascii="Times New Roman" w:hAnsi="Times New Roman"/>
          <w:b w:val="false"/>
          <w:i w:val="false"/>
          <w:color w:val="000000"/>
          <w:sz w:val="22"/>
        </w:rPr>
        <w:t>The emissions of particulate matter to the atmosphere from electric furnaces used for metallurgical melting shall not exceed 0.1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w:t>
      </w:r>
      <w:r>
        <w:rPr>
          <w:rFonts w:ascii="Times New Roman" w:hAnsi="Times New Roman"/>
          <w:b w:val="false"/>
          <w:i w:val="false"/>
          <w:color w:val="000000"/>
          <w:sz w:val="22"/>
        </w:rPr>
        <w:t> </w:t>
      </w:r>
      <w:r>
        <w:rPr>
          <w:rFonts w:ascii="Times New Roman" w:hAnsi="Times New Roman"/>
          <w:b w:val="false"/>
          <w:i/>
          <w:color w:val="000000"/>
          <w:sz w:val="22"/>
        </w:rPr>
        <w:t xml:space="preserve">Sand handling and surface finishing operations in metal processing. </w:t>
      </w:r>
      <w:r>
        <w:rPr>
          <w:rFonts w:ascii="Times New Roman" w:hAnsi="Times New Roman"/>
          <w:b w:val="false"/>
          <w:i w:val="false"/>
          <w:color w:val="000000"/>
          <w:sz w:val="22"/>
        </w:rPr>
        <w:t>This subrule shall apply to any new foundry or metal processing operation not properly termed a combustion, melting, baking or pouring operation. For purposes of this subrule, a new process is any process that has not started operation, or the construction of which has not been commenced, or the components of which have not been ordered or contracts for the construction of which have not been let on August 1, 1977. No person shall allow, cause or permit the operation of any equipment designed for sand shakeout, mulling, molding, cleaning, preparation, reclamation or rejuvenation or any equipment for abrasive cleaning, shot blasting, grinding, cutting, sawing or buffing in such a manner that particulate matter discharged from any stack exceeds 0.05 grains per dry standard cubic foot of exhaust gas, regardless of the types and number of operations that discharge from the stack.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w:t>
      </w:r>
      <w:r>
        <w:rPr>
          <w:rFonts w:ascii="Times New Roman" w:hAnsi="Times New Roman"/>
          <w:b w:val="false"/>
          <w:i w:val="false"/>
          <w:color w:val="000000"/>
          <w:sz w:val="22"/>
        </w:rPr>
        <w:t> </w:t>
      </w:r>
      <w:r>
        <w:rPr>
          <w:rFonts w:ascii="Times New Roman" w:hAnsi="Times New Roman"/>
          <w:b w:val="false"/>
          <w:i/>
          <w:color w:val="000000"/>
          <w:sz w:val="22"/>
        </w:rPr>
        <w:t xml:space="preserve">Grain handling and processing plants. </w:t>
      </w:r>
      <w:r>
        <w:rPr>
          <w:rFonts w:ascii="Times New Roman" w:hAnsi="Times New Roman"/>
          <w:b w:val="false"/>
          <w:i w:val="false"/>
          <w:color w:val="000000"/>
          <w:sz w:val="22"/>
        </w:rPr>
        <w:t>The owner or operator of equipment at a permanent installation for the handling or processing of grain, grain products and grain by-products shall not cause, allow or permit the particulate matter discharged to the atmosphere to exceed 0.1 grain per dry standard cubic foot of exhaust gas,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particulate matter discharged to the atmosphere from a grain bin vent at a country grain elevator, as “country grain elevator” is defined in </w:t>
      </w:r>
      <w:hyperlink r:id="rId102">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shall not exceed 1.0 grain per dry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particulate matter discharged to the atmosphere from a grain bin vent that was constructed, modified or reconstructed before March 31, 2008, at a country grain terminal elevator, as “country grain terminal elevator” is defined in </w:t>
      </w:r>
      <w:hyperlink r:id="rId103">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xml:space="preserve">, or at a grain terminal elevator, as “grain terminal elevator” is defined in </w:t>
      </w:r>
      <w:hyperlink r:id="rId104">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shall not exceed 1.0 grain per dry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particulate matter discharged to the atmosphere from a grain bin vent that is constructed or reconstructed on or after March 31, 2008, at a country grain terminal elevator, as “country grain terminal elevator” is defined in </w:t>
      </w:r>
      <w:hyperlink r:id="rId105">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xml:space="preserve">, or at a grain terminal elevator, as “grain terminal elevator” is defined in </w:t>
      </w:r>
      <w:hyperlink r:id="rId106">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 shall not exceed 0.1 grain per dry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23.4(8)</w:t>
      </w:r>
      <w:r>
        <w:rPr>
          <w:rFonts w:ascii="Times New Roman" w:hAnsi="Times New Roman"/>
          <w:b w:val="false"/>
          <w:i w:val="false"/>
          <w:color w:val="000000"/>
          <w:sz w:val="22"/>
        </w:rPr>
        <w:t> </w:t>
      </w:r>
      <w:r>
        <w:rPr>
          <w:rFonts w:ascii="Times New Roman" w:hAnsi="Times New Roman"/>
          <w:b w:val="false"/>
          <w:i/>
          <w:color w:val="000000"/>
          <w:sz w:val="22"/>
        </w:rPr>
        <w:t xml:space="preserve">Lime kilns. </w:t>
      </w:r>
      <w:r>
        <w:rPr>
          <w:rFonts w:ascii="Times New Roman" w:hAnsi="Times New Roman"/>
          <w:b w:val="false"/>
          <w:i w:val="false"/>
          <w:color w:val="000000"/>
          <w:sz w:val="22"/>
        </w:rPr>
        <w:t>No person shall cause, allow or permit the operation of a kiln for the processing of limestone such that the particulate matter in the gas discharged to the atmosphere exceeds 0.1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23.4(9)</w:t>
      </w:r>
      <w:r>
        <w:rPr>
          <w:rFonts w:ascii="Times New Roman" w:hAnsi="Times New Roman"/>
          <w:b w:val="false"/>
          <w:i w:val="false"/>
          <w:color w:val="000000"/>
          <w:sz w:val="22"/>
        </w:rPr>
        <w:t> </w:t>
      </w:r>
      <w:r>
        <w:rPr>
          <w:rFonts w:ascii="Times New Roman" w:hAnsi="Times New Roman"/>
          <w:b w:val="false"/>
          <w:i/>
          <w:color w:val="000000"/>
          <w:sz w:val="22"/>
        </w:rPr>
        <w:t xml:space="preserve">Meat smokehouses. </w:t>
      </w:r>
      <w:r>
        <w:rPr>
          <w:rFonts w:ascii="Times New Roman" w:hAnsi="Times New Roman"/>
          <w:b w:val="false"/>
          <w:i w:val="false"/>
          <w:color w:val="000000"/>
          <w:sz w:val="22"/>
        </w:rPr>
        <w:t>No person shall cause, allow or permit the operation of a meat smokehouse or a group of meat smokehouses that consume more than 10 pounds of wood, sawdust or other material per hour such that the particulate matter discharged to the atmosphere exceeds 0.2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23.4(10)</w:t>
      </w:r>
      <w:r>
        <w:rPr>
          <w:rFonts w:ascii="Times New Roman" w:hAnsi="Times New Roman"/>
          <w:b w:val="false"/>
          <w:i w:val="false"/>
          <w:color w:val="000000"/>
          <w:sz w:val="22"/>
        </w:rPr>
        <w:t> </w:t>
      </w:r>
      <w:r>
        <w:rPr>
          <w:rFonts w:ascii="Times New Roman" w:hAnsi="Times New Roman"/>
          <w:b w:val="false"/>
          <w:i/>
          <w:color w:val="000000"/>
          <w:sz w:val="22"/>
        </w:rPr>
        <w:t xml:space="preserve">Phosphate processing 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b.</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Nitrophosphate manufacture. No person shall allow, cause or permit the operation of equipment for the manufacture of nitrophosphate in a manner that produces more than 0.06 pound of fluoride per ton of phosphorus pentoxide or equivalent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shall allow, cause or permit the operation of equipment for the processing of phosphate ore, rock or other phosphatic material (other than equipment used for the manufacture of phosphoric acid, diammonium phosphate or nitrophosphate) in a manner that the unit emissions of fluoride exceed 0.4 pound of fluoride per ton of phosphorous pentoxide or its equivalent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107">
        <w:r>
          <w:rPr>
            <w:rStyle w:val="Hyperlink"/>
            <w:rFonts w:ascii="Times New Roman" w:hAnsi="Times New Roman"/>
            <w:b w:val="false"/>
            <w:i w:val="false"/>
            <w:color w:val="000000"/>
            <w:sz w:val="22"/>
          </w:rPr>
          <w:t>23.4(10)</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no person shall allow, cause or permit the operation of equipment for the processing of phosphorous ore, rock or other phosphatic material, including but not limited to phosphoric acid, in a manner that emissions of fluorides exceed 100 pounds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“Fluoride” means elemental fluorine and all fluoride compounds as measured by reference methods specified in Appendix A to 40 CFR Part 60 as amended through March 12,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Calculation. The allowable total emission of fluoride shall be calculated by multiplying the unit emission specified above by the expressed design production capacity of the process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23.4(11)</w:t>
      </w:r>
      <w:r>
        <w:rPr>
          <w:rFonts w:ascii="Times New Roman" w:hAnsi="Times New Roman"/>
          <w:b w:val="false"/>
          <w:i w:val="false"/>
          <w:color w:val="000000"/>
          <w:sz w:val="22"/>
        </w:rPr>
        <w:t> </w:t>
      </w:r>
      <w:r>
        <w:rPr>
          <w:rFonts w:ascii="Times New Roman" w:hAnsi="Times New Roman"/>
          <w:b w:val="false"/>
          <w:i/>
          <w:color w:val="000000"/>
          <w:sz w:val="22"/>
        </w:rPr>
        <w:t xml:space="preserve">Portland cement concrete batching plants. </w:t>
      </w:r>
      <w:r>
        <w:rPr>
          <w:rFonts w:ascii="Times New Roman" w:hAnsi="Times New Roman"/>
          <w:b w:val="false"/>
          <w:i w:val="false"/>
          <w:color w:val="000000"/>
          <w:sz w:val="22"/>
        </w:rPr>
        <w:t>No person shall cause, allow or permit the operation of a Portland cement concrete batching plant such that the particulate matter discharged to the atmosphere exceeds 0.1 grain per standard cubic foot of exhaust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23.4(12)</w:t>
      </w:r>
      <w:r>
        <w:rPr>
          <w:rFonts w:ascii="Times New Roman" w:hAnsi="Times New Roman"/>
          <w:b w:val="false"/>
          <w:i w:val="false"/>
          <w:color w:val="000000"/>
          <w:sz w:val="22"/>
        </w:rPr>
        <w:t> </w:t>
      </w:r>
      <w:r>
        <w:rPr>
          <w:rFonts w:ascii="Times New Roman" w:hAnsi="Times New Roman"/>
          <w:b w:val="false"/>
          <w:i/>
          <w:color w:val="000000"/>
          <w:sz w:val="22"/>
        </w:rPr>
        <w:t xml:space="preserve">Incinerators. </w:t>
      </w:r>
      <w:r>
        <w:rPr>
          <w:rFonts w:ascii="Times New Roman" w:hAnsi="Times New Roman"/>
          <w:b w:val="false"/>
          <w:i w:val="false"/>
          <w:color w:val="000000"/>
          <w:sz w:val="22"/>
        </w:rPr>
        <w:t>A person shall not cause, allow or permit the operation of an incinerator unless provided with appropriate control of emissions of particulate matter and visible air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Particulate matter. </w:t>
      </w:r>
      <w:r>
        <w:rPr>
          <w:rFonts w:ascii="Times New Roman" w:hAnsi="Times New Roman"/>
          <w:b w:val="false"/>
          <w:i w:val="false"/>
          <w:color w:val="000000"/>
          <w:sz w:val="22"/>
        </w:rPr>
        <w:t>A person shall not cause, allow or permit the operation of an incinerator with a rated refuse burning capacity of 1,000 or more pounds per hour in a manner such that the particulate matter discharged to the atmosphere exceeds 0.2 grain per standard cubic foot of exhaust gas adjusted to 12 percent carbon dioxide.</w:t>
      </w:r>
    </w:p>
    <w:p>
      <w:pPr>
        <w:spacing w:before="0" w:after="0"/>
        <w:ind w:left="120"/>
        <w:jc w:val="both"/>
      </w:pPr>
      <w:r>
        <w:rPr>
          <w:rFonts w:ascii="Times New Roman" w:hAnsi="Times New Roman"/>
          <w:b w:val="false"/>
          <w:i w:val="false"/>
          <w:color w:val="000000"/>
          <w:sz w:val="22"/>
        </w:rPr>
        <w:t>A person shall not cause, allow or permit the operation of an incinerator with a rated refuse burning capacity of less than 1,000 pounds per hour in a manner such that the particulate matter discharged to the atmosphere exceeds 0.35 grain per standard cubic foot of exhaust gas adjusted to 12 percent carbon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Visible emissions. </w:t>
      </w:r>
      <w:r>
        <w:rPr>
          <w:rFonts w:ascii="Times New Roman" w:hAnsi="Times New Roman"/>
          <w:b w:val="false"/>
          <w:i w:val="false"/>
          <w:color w:val="000000"/>
          <w:sz w:val="22"/>
        </w:rPr>
        <w:t>A person shall not allow, cause or permit the operation of an incinerator in a manner such that it produces visible air contaminants in excess of 40 percent opacity; except that visible air contaminants in excess of 40 percent opacity but less than or equal to 60 percent opacity may be emitted for periods aggregating not more than 3 minutes in any 60-minute period during an operation breakdown or during the cleaning of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23.4(13)</w:t>
      </w:r>
      <w:r>
        <w:rPr>
          <w:rFonts w:ascii="Times New Roman" w:hAnsi="Times New Roman"/>
          <w:b w:val="false"/>
          <w:i w:val="false"/>
          <w:color w:val="000000"/>
          <w:sz w:val="22"/>
        </w:rPr>
        <w:t> </w:t>
      </w:r>
      <w:r>
        <w:rPr>
          <w:rFonts w:ascii="Times New Roman" w:hAnsi="Times New Roman"/>
          <w:b w:val="false"/>
          <w:i/>
          <w:color w:val="000000"/>
          <w:sz w:val="22"/>
        </w:rPr>
        <w:t xml:space="preserve">Painting and surface-coating operations. </w:t>
      </w:r>
      <w:r>
        <w:rPr>
          <w:rFonts w:ascii="Times New Roman" w:hAnsi="Times New Roman"/>
          <w:b w:val="false"/>
          <w:i w:val="false"/>
          <w:color w:val="000000"/>
          <w:sz w:val="22"/>
        </w:rPr>
        <w:t>No person shall allow, cause or permit painting and surface-coating operations in a manner such that particulate matter in the gas discharge exceeds 0.01 grain per standard cubic foot of exhaust gas.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567—23.5</w:t>
      </w:r>
      <w:r>
        <w:rPr>
          <w:rFonts w:ascii="Times New Roman" w:hAnsi="Times New Roman"/>
          <w:b/>
          <w:i w:val="false"/>
          <w:color w:val="000000"/>
          <w:sz w:val="22"/>
        </w:rPr>
        <w:t xml:space="preserve">(455B) </w:t>
      </w:r>
      <w:r>
        <w:rPr>
          <w:rFonts w:ascii="Times New Roman" w:hAnsi="Times New Roman"/>
          <w:b/>
          <w:i w:val="false"/>
          <w:color w:val="000000"/>
          <w:sz w:val="22"/>
        </w:rPr>
        <w:t xml:space="preserve">Anaerobic lagoons.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construction permits for animal feeding operations using anaerobic lagoons shall meet the requirements of </w:t>
      </w:r>
      <w:hyperlink r:id="rId108">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val="false"/>
          <w:color w:val="000000"/>
          <w:sz w:val="22"/>
        </w:rPr>
        <w:t>Criteria for approval of industrial anaerobic lagoons constructed or expanded on or after July 1, 1982.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Lagoons designed to treat 100,000 gallons per day (gpd) or less shall be located at least 1,250 feet from a residence not owned by the owner of the lagoon or from a public use area other than a public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Lagoons designed to treat more than 100,000 gpd shall be located at least 1,875 feet from a residence not owned by the owner of the lagoon or from a public use area other than a public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criteria in </w:t>
      </w:r>
      <w:hyperlink r:id="rId109">
        <w:r>
          <w:rPr>
            <w:rStyle w:val="Hyperlink"/>
            <w:rFonts w:ascii="Times New Roman" w:hAnsi="Times New Roman"/>
            <w:b w:val="false"/>
            <w:i w:val="false"/>
            <w:color w:val="000000"/>
            <w:sz w:val="22"/>
          </w:rPr>
          <w:t>23.5(2)</w:t>
        </w:r>
      </w:hyperlink>
      <w:r>
        <w:rPr>
          <w:rFonts w:ascii="Times New Roman" w:hAnsi="Times New Roman"/>
          <w:b w:val="false"/>
          <w:i w:val="false"/>
          <w:color w:val="000000"/>
          <w:sz w:val="22"/>
        </w:rPr>
        <w:t xml:space="preserve"> shall apply except in situations in which Iowa Code section </w:t>
      </w:r>
      <w:hyperlink r:id="rId110">
        <w:r>
          <w:rPr>
            <w:rStyle w:val="Hyperlink"/>
            <w:rFonts w:ascii="Times New Roman" w:hAnsi="Times New Roman"/>
            <w:b w:val="false"/>
            <w:i w:val="false"/>
            <w:color w:val="000000"/>
            <w:sz w:val="22"/>
          </w:rPr>
          <w:t>455B.134(3)</w:t>
        </w:r>
      </w:hyperlink>
      <w:r>
        <w:rPr>
          <w:rFonts w:ascii="Times New Roman" w:hAnsi="Times New Roman"/>
          <w:b w:val="false"/>
          <w:i/>
          <w:color w:val="000000"/>
          <w:sz w:val="22"/>
        </w:rPr>
        <w:t>“e”</w:t>
      </w:r>
      <w:r>
        <w:rPr>
          <w:rFonts w:ascii="Times New Roman" w:hAnsi="Times New Roman"/>
          <w:b w:val="false"/>
          <w:i w:val="false"/>
          <w:color w:val="000000"/>
          <w:sz w:val="22"/>
        </w:rPr>
        <w:t>(2) is successfully invoked.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requirements of </w:t>
      </w:r>
      <w:hyperlink r:id="rId111">
        <w:r>
          <w:rPr>
            <w:rStyle w:val="Hyperlink"/>
            <w:rFonts w:ascii="Times New Roman" w:hAnsi="Times New Roman"/>
            <w:b w:val="false"/>
            <w:i w:val="false"/>
            <w:color w:val="000000"/>
            <w:sz w:val="22"/>
          </w:rPr>
          <w:t>23.5(2)</w:t>
        </w:r>
      </w:hyperlink>
      <w:r>
        <w:rPr>
          <w:rFonts w:ascii="Times New Roman" w:hAnsi="Times New Roman"/>
          <w:b w:val="false"/>
          <w:i w:val="false"/>
          <w:color w:val="000000"/>
          <w:sz w:val="22"/>
        </w:rPr>
        <w:t xml:space="preserve"> shall not constitute an exemption from compliance with any other applicable environmental regulations. In particular, compliance with these requirements shall not absolve any person from compliance with the requirements set forth in </w:t>
      </w:r>
      <w:hyperlink r:id="rId112">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xml:space="preserve"> that are applicable to industrial anaerobic lagoons.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3">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3/1/76, Notice 11/3/75—published 3/22/76, effective 4/26/76]</w:t>
      </w:r>
    </w:p>
    <w:p>
      <w:pPr>
        <w:spacing w:before="0" w:after="0"/>
        <w:ind w:left="120"/>
        <w:jc w:val="center"/>
      </w:pPr>
      <w:r>
        <w:rPr>
          <w:rFonts w:ascii="Times New Roman" w:hAnsi="Times New Roman"/>
          <w:b w:val="false"/>
          <w:i w:val="false"/>
          <w:color w:val="000000"/>
          <w:sz w:val="21"/>
        </w:rPr>
        <w:t>[Filed 5/28/76, Notice 12/15/75, 1/12/76, 1/26/76, 2/23/76—published 6/14/76, effective 7/19/76]</w:t>
      </w:r>
    </w:p>
    <w:p>
      <w:pPr>
        <w:spacing w:before="0" w:after="0"/>
        <w:ind w:left="120"/>
        <w:jc w:val="center"/>
      </w:pPr>
      <w:r>
        <w:rPr>
          <w:rFonts w:ascii="Times New Roman" w:hAnsi="Times New Roman"/>
          <w:b w:val="false"/>
          <w:i w:val="false"/>
          <w:color w:val="000000"/>
          <w:sz w:val="21"/>
        </w:rPr>
        <w:t>[Filed 11/24/76, Notice 8/9/76—published 12/15/76, effective 1/19/77]</w:t>
      </w:r>
    </w:p>
    <w:p>
      <w:pPr>
        <w:spacing w:before="0" w:after="0"/>
        <w:ind w:left="120"/>
        <w:jc w:val="center"/>
      </w:pPr>
      <w:r>
        <w:rPr>
          <w:rFonts w:ascii="Times New Roman" w:hAnsi="Times New Roman"/>
          <w:b w:val="false"/>
          <w:i w:val="false"/>
          <w:color w:val="000000"/>
          <w:sz w:val="21"/>
        </w:rPr>
        <w:t>[Filed 12/22/76, Notice 8/9/76—published 1/12/77, effective 2/16/77]</w:t>
      </w:r>
    </w:p>
    <w:p>
      <w:pPr>
        <w:spacing w:before="0" w:after="0"/>
        <w:ind w:left="120"/>
        <w:jc w:val="center"/>
      </w:pPr>
      <w:r>
        <w:rPr>
          <w:rFonts w:ascii="Times New Roman" w:hAnsi="Times New Roman"/>
          <w:b w:val="false"/>
          <w:i w:val="false"/>
          <w:color w:val="000000"/>
          <w:sz w:val="21"/>
        </w:rPr>
        <w:t>[Filed 2/25/77, Notice 8/9/76—published 3/23/77, effective 4/27/77]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5/27/77, Notice 8/9/76, 12/29/76—published 6/15/77, effective 7/20/77]</w:t>
      </w:r>
    </w:p>
    <w:p>
      <w:pPr>
        <w:spacing w:before="0" w:after="0"/>
        <w:ind w:left="120"/>
        <w:jc w:val="center"/>
      </w:pPr>
      <w:r>
        <w:rPr>
          <w:rFonts w:ascii="Times New Roman" w:hAnsi="Times New Roman"/>
          <w:b w:val="false"/>
          <w:i w:val="false"/>
          <w:color w:val="000000"/>
          <w:sz w:val="21"/>
        </w:rPr>
        <w:t>[Filed 5/27/77, Notice 1/12/76, 3/9/77—published 6/15/77, effective 1/1/78 and 1/1/79]</w:t>
      </w:r>
    </w:p>
    <w:p>
      <w:pPr>
        <w:spacing w:before="0" w:after="0"/>
        <w:ind w:left="120"/>
        <w:jc w:val="center"/>
      </w:pPr>
      <w:r>
        <w:rPr>
          <w:rFonts w:ascii="Times New Roman" w:hAnsi="Times New Roman"/>
          <w:b w:val="false"/>
          <w:i w:val="false"/>
          <w:color w:val="000000"/>
          <w:sz w:val="21"/>
        </w:rPr>
        <w:t>[Filed without Notice 10/28/77—published 11/16/77, effective 12/21/77]</w:t>
      </w:r>
    </w:p>
    <w:p>
      <w:pPr>
        <w:spacing w:before="0" w:after="0"/>
        <w:ind w:left="120"/>
        <w:jc w:val="center"/>
      </w:pPr>
      <w:r>
        <w:rPr>
          <w:rFonts w:ascii="Times New Roman" w:hAnsi="Times New Roman"/>
          <w:b w:val="false"/>
          <w:i w:val="false"/>
          <w:color w:val="000000"/>
          <w:sz w:val="21"/>
        </w:rPr>
        <w:t>[Filed 4/27/78, Notice 11/16/77—published 5/17/78, effective 6/21/78]</w:t>
      </w:r>
    </w:p>
    <w:p>
      <w:pPr>
        <w:spacing w:before="0" w:after="0"/>
        <w:ind w:left="120"/>
        <w:jc w:val="center"/>
      </w:pPr>
      <w:r>
        <w:rPr>
          <w:rFonts w:ascii="Times New Roman" w:hAnsi="Times New Roman"/>
          <w:b w:val="false"/>
          <w:i w:val="false"/>
          <w:color w:val="000000"/>
          <w:sz w:val="21"/>
        </w:rPr>
        <w:t>[Filed 3/16/79, Notice 10/18/78—published 4/4/79, effective 5/9/79]</w:t>
      </w:r>
    </w:p>
    <w:p>
      <w:pPr>
        <w:spacing w:before="0" w:after="0"/>
        <w:ind w:left="120"/>
        <w:jc w:val="center"/>
      </w:pPr>
      <w:r>
        <w:rPr>
          <w:rFonts w:ascii="Times New Roman" w:hAnsi="Times New Roman"/>
          <w:b w:val="false"/>
          <w:i w:val="false"/>
          <w:color w:val="000000"/>
          <w:sz w:val="21"/>
        </w:rPr>
        <w:t>[Filed 4/12/79, Notice 9/6/78—published 5/2/79, effective 6/6/79]</w:t>
      </w:r>
    </w:p>
    <w:p>
      <w:pPr>
        <w:spacing w:before="0" w:after="0"/>
        <w:ind w:left="120"/>
        <w:jc w:val="center"/>
      </w:pPr>
      <w:r>
        <w:rPr>
          <w:rFonts w:ascii="Times New Roman" w:hAnsi="Times New Roman"/>
          <w:b w:val="false"/>
          <w:i w:val="false"/>
          <w:color w:val="000000"/>
          <w:sz w:val="21"/>
        </w:rPr>
        <w:t>[Filed 6/29/79, Notice 2/7/79—published 7/25/79, effective 8/29/79]</w:t>
      </w:r>
    </w:p>
    <w:p>
      <w:pPr>
        <w:spacing w:before="0" w:after="0"/>
        <w:ind w:left="120"/>
        <w:jc w:val="center"/>
      </w:pPr>
      <w:r>
        <w:rPr>
          <w:rFonts w:ascii="Times New Roman" w:hAnsi="Times New Roman"/>
          <w:b w:val="false"/>
          <w:i w:val="false"/>
          <w:color w:val="000000"/>
          <w:sz w:val="21"/>
        </w:rPr>
        <w:t>[Filed without Notice 6/29/79—published 7/25/79, effective 8/29/79]</w:t>
      </w:r>
    </w:p>
    <w:p>
      <w:pPr>
        <w:spacing w:before="0" w:after="0"/>
        <w:ind w:left="120"/>
        <w:jc w:val="center"/>
      </w:pPr>
      <w:r>
        <w:rPr>
          <w:rFonts w:ascii="Times New Roman" w:hAnsi="Times New Roman"/>
          <w:b w:val="false"/>
          <w:i w:val="false"/>
          <w:color w:val="000000"/>
          <w:sz w:val="21"/>
        </w:rPr>
        <w:t>[Filed 10/26/79, Notices 5/2/79, 8/8/79—published 11/14/79, effective 12/19/79]</w:t>
      </w:r>
    </w:p>
    <w:p>
      <w:pPr>
        <w:spacing w:before="0" w:after="0"/>
        <w:ind w:left="120"/>
        <w:jc w:val="center"/>
      </w:pPr>
      <w:r>
        <w:rPr>
          <w:rFonts w:ascii="Times New Roman" w:hAnsi="Times New Roman"/>
          <w:b w:val="false"/>
          <w:i w:val="false"/>
          <w:color w:val="000000"/>
          <w:sz w:val="21"/>
        </w:rPr>
        <w:t>[Filed 4/10/80, Notices 12/26/79, 1/23/80—published 4/30/80, effective 6/4/80]</w:t>
      </w:r>
    </w:p>
    <w:p>
      <w:pPr>
        <w:spacing w:before="0" w:after="0"/>
        <w:ind w:left="120"/>
        <w:jc w:val="center"/>
      </w:pPr>
      <w:r>
        <w:rPr>
          <w:rFonts w:ascii="Times New Roman" w:hAnsi="Times New Roman"/>
          <w:b w:val="false"/>
          <w:i w:val="false"/>
          <w:color w:val="000000"/>
          <w:sz w:val="21"/>
        </w:rPr>
        <w:t>[Filed 7/31/80, Notice 12/26/79—published 8/20/80, effective 9/24/80]</w:t>
      </w:r>
    </w:p>
    <w:p>
      <w:pPr>
        <w:spacing w:before="0" w:after="0"/>
        <w:ind w:left="120"/>
        <w:jc w:val="center"/>
      </w:pPr>
      <w:r>
        <w:rPr>
          <w:rFonts w:ascii="Times New Roman" w:hAnsi="Times New Roman"/>
          <w:b w:val="false"/>
          <w:i w:val="false"/>
          <w:color w:val="000000"/>
          <w:sz w:val="21"/>
        </w:rPr>
        <w:t>[Filed 9/26/80, Notice 5/28/80—published 10/15/80, effective 11/19/80]</w:t>
      </w:r>
    </w:p>
    <w:p>
      <w:pPr>
        <w:spacing w:before="0" w:after="0"/>
        <w:ind w:left="120"/>
        <w:jc w:val="center"/>
      </w:pPr>
      <w:r>
        <w:rPr>
          <w:rFonts w:ascii="Times New Roman" w:hAnsi="Times New Roman"/>
          <w:b w:val="false"/>
          <w:i w:val="false"/>
          <w:color w:val="000000"/>
          <w:sz w:val="21"/>
        </w:rPr>
        <w:t>[Filed 12/12/80, Notice 10/15/80—published 1/7/81, effective 2/11/81]</w:t>
      </w:r>
    </w:p>
    <w:p>
      <w:pPr>
        <w:spacing w:before="0" w:after="0"/>
        <w:ind w:left="120"/>
        <w:jc w:val="center"/>
      </w:pPr>
      <w:r>
        <w:rPr>
          <w:rFonts w:ascii="Times New Roman" w:hAnsi="Times New Roman"/>
          <w:b w:val="false"/>
          <w:i w:val="false"/>
          <w:color w:val="000000"/>
          <w:sz w:val="21"/>
        </w:rPr>
        <w:t>[Filed 4/23/81, Notice 2/4/81—published 5/13/81, effective 6/17/81]</w:t>
      </w:r>
    </w:p>
    <w:p>
      <w:pPr>
        <w:spacing w:before="0" w:after="0"/>
        <w:ind w:left="120"/>
        <w:jc w:val="center"/>
      </w:pPr>
      <w:r>
        <w:rPr>
          <w:rFonts w:ascii="Times New Roman" w:hAnsi="Times New Roman"/>
          <w:b w:val="false"/>
          <w:i w:val="false"/>
          <w:color w:val="000000"/>
          <w:sz w:val="21"/>
        </w:rPr>
        <w:t>[Filed 5/21/81, Notice 3/18/81—published 6/10/81, effective 7/15/81]</w:t>
      </w:r>
    </w:p>
    <w:p>
      <w:pPr>
        <w:spacing w:before="0" w:after="0"/>
        <w:ind w:left="120"/>
        <w:jc w:val="center"/>
      </w:pPr>
      <w:r>
        <w:rPr>
          <w:rFonts w:ascii="Times New Roman" w:hAnsi="Times New Roman"/>
          <w:b w:val="false"/>
          <w:i w:val="false"/>
          <w:color w:val="000000"/>
          <w:sz w:val="21"/>
        </w:rPr>
        <w:t>[Filed 7/31/81, Notices 12/10/80, 5/13/81—published 8/19/81, effective 9/23/81]</w:t>
      </w:r>
    </w:p>
    <w:p>
      <w:pPr>
        <w:spacing w:before="0" w:after="0"/>
        <w:ind w:left="120"/>
        <w:jc w:val="center"/>
      </w:pPr>
      <w:r>
        <w:rPr>
          <w:rFonts w:ascii="Times New Roman" w:hAnsi="Times New Roman"/>
          <w:b w:val="false"/>
          <w:i w:val="false"/>
          <w:color w:val="000000"/>
          <w:sz w:val="21"/>
        </w:rPr>
        <w:t>[Filed emergency 9/11/81—published 9/30/81, effective 9/23/81]</w:t>
      </w:r>
    </w:p>
    <w:p>
      <w:pPr>
        <w:spacing w:before="0" w:after="0"/>
        <w:ind w:left="120"/>
        <w:jc w:val="center"/>
      </w:pPr>
      <w:r>
        <w:rPr>
          <w:rFonts w:ascii="Times New Roman" w:hAnsi="Times New Roman"/>
          <w:b w:val="false"/>
          <w:i w:val="false"/>
          <w:color w:val="000000"/>
          <w:sz w:val="21"/>
        </w:rPr>
        <w:t>[Filed 9/11/81, Notice 7/8/81—published 9/30/81, effective 11/4/81]</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[Filed 9/24/82, Notice 6/23/82—published 10/13/82, effective 11/17/82]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7/28/83, Notice 2/16/83—published 8/17/83, effective 9/21/83]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11/30/83, Notice 9/14/83—published 12/21/83, effective 1/25/84]</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9/20/84, Notice 7/18/84—published 10/10/84, effective 11/14/84]</w:t>
      </w:r>
    </w:p>
    <w:p>
      <w:pPr>
        <w:spacing w:before="0" w:after="0"/>
        <w:ind w:left="120"/>
        <w:jc w:val="center"/>
      </w:pPr>
      <w:r>
        <w:rPr>
          <w:rFonts w:ascii="Times New Roman" w:hAnsi="Times New Roman"/>
          <w:b w:val="false"/>
          <w:i w:val="false"/>
          <w:color w:val="000000"/>
          <w:sz w:val="21"/>
        </w:rPr>
        <w:t>[Filed 11/27/85, Notice 7/31/85—published 12/18/85, effective 1/22/86]</w:t>
      </w:r>
    </w:p>
    <w:p>
      <w:pPr>
        <w:spacing w:before="0" w:after="0"/>
        <w:ind w:left="120"/>
        <w:jc w:val="center"/>
      </w:pPr>
      <w:r>
        <w:rPr>
          <w:rFonts w:ascii="Times New Roman" w:hAnsi="Times New Roman"/>
          <w:b w:val="false"/>
          <w:i w:val="false"/>
          <w:color w:val="000000"/>
          <w:sz w:val="21"/>
        </w:rPr>
        <w:t>[Filed 5/2/86, Notice 1/15/86—published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1/22/88, Notice 11/18/87—published 2/10/88, effective 3/16/88]</w:t>
      </w:r>
    </w:p>
    <w:p>
      <w:pPr>
        <w:spacing w:before="0" w:after="0"/>
        <w:ind w:left="120"/>
        <w:jc w:val="center"/>
      </w:pPr>
      <w:r>
        <w:rPr>
          <w:rFonts w:ascii="Times New Roman" w:hAnsi="Times New Roman"/>
          <w:b w:val="false"/>
          <w:i w:val="false"/>
          <w:color w:val="000000"/>
          <w:sz w:val="21"/>
        </w:rPr>
        <w:t>[Filed 3/30/89, Notice 1/11/89—published 4/19/89, effective 5/24/89]</w:t>
      </w:r>
    </w:p>
    <w:p>
      <w:pPr>
        <w:spacing w:before="0" w:after="0"/>
        <w:ind w:left="120"/>
        <w:jc w:val="center"/>
      </w:pPr>
      <w:r>
        <w:rPr>
          <w:rFonts w:ascii="Times New Roman" w:hAnsi="Times New Roman"/>
          <w:b w:val="false"/>
          <w:i w:val="false"/>
          <w:color w:val="000000"/>
          <w:sz w:val="21"/>
        </w:rPr>
        <w:t>[Filed 5/24/90, Notice 3/21/90—published 6/13/90, effective 7/18/90]</w:t>
      </w:r>
    </w:p>
    <w:p>
      <w:pPr>
        <w:spacing w:before="0" w:after="0"/>
        <w:ind w:left="120"/>
        <w:jc w:val="center"/>
      </w:pPr>
      <w:r>
        <w:rPr>
          <w:rFonts w:ascii="Times New Roman" w:hAnsi="Times New Roman"/>
          <w:b w:val="false"/>
          <w:i w:val="false"/>
          <w:color w:val="000000"/>
          <w:sz w:val="21"/>
        </w:rPr>
        <w:t>[Filed 7/19/90, Notice 4/18/90—published 8/8/90, effective 9/12/90]</w:t>
      </w:r>
    </w:p>
    <w:p>
      <w:pPr>
        <w:spacing w:before="0" w:after="0"/>
        <w:ind w:left="120"/>
        <w:jc w:val="center"/>
      </w:pPr>
      <w:r>
        <w:rPr>
          <w:rFonts w:ascii="Times New Roman" w:hAnsi="Times New Roman"/>
          <w:b w:val="false"/>
          <w:i w:val="false"/>
          <w:color w:val="000000"/>
          <w:sz w:val="21"/>
        </w:rPr>
        <w:t>[Filed 3/29/91, Notice 1/9/91—published 4/17/91, effective 5/22/91]</w:t>
      </w:r>
    </w:p>
    <w:p>
      <w:pPr>
        <w:spacing w:before="0" w:after="0"/>
        <w:ind w:left="120"/>
        <w:jc w:val="center"/>
      </w:pPr>
      <w:r>
        <w:rPr>
          <w:rFonts w:ascii="Times New Roman" w:hAnsi="Times New Roman"/>
          <w:b w:val="false"/>
          <w:i w:val="false"/>
          <w:color w:val="000000"/>
          <w:sz w:val="21"/>
        </w:rPr>
        <w:t>[Filed 12/30/92, Notice 9/16/92—published 1/20/93, effective 2/24/93]</w:t>
      </w:r>
    </w:p>
    <w:p>
      <w:pPr>
        <w:spacing w:before="0" w:after="0"/>
        <w:ind w:left="120"/>
        <w:jc w:val="center"/>
      </w:pPr>
      <w:r>
        <w:rPr>
          <w:rFonts w:ascii="Times New Roman" w:hAnsi="Times New Roman"/>
          <w:b w:val="false"/>
          <w:i w:val="false"/>
          <w:color w:val="000000"/>
          <w:sz w:val="21"/>
        </w:rPr>
        <w:t>[Filed 11/19/93, Notice 9/15/93—published 12/8/93, effective 1/12/94]</w:t>
      </w:r>
    </w:p>
    <w:p>
      <w:pPr>
        <w:spacing w:before="0" w:after="0"/>
        <w:ind w:left="120"/>
        <w:jc w:val="center"/>
      </w:pPr>
      <w:r>
        <w:rPr>
          <w:rFonts w:ascii="Times New Roman" w:hAnsi="Times New Roman"/>
          <w:b w:val="false"/>
          <w:i w:val="false"/>
          <w:color w:val="000000"/>
          <w:sz w:val="21"/>
        </w:rPr>
        <w:t>[Filed 2/25/94, Notice 10/13/93—published 3/16/94, effective 4/20/94]</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9/23/94, Notice 6/22/94—published 10/12/94, effective 11/16/94]</w:t>
      </w:r>
    </w:p>
    <w:p>
      <w:pPr>
        <w:spacing w:before="0" w:after="0"/>
        <w:ind w:left="120"/>
        <w:jc w:val="center"/>
      </w:pPr>
      <w:r>
        <w:rPr>
          <w:rFonts w:ascii="Times New Roman" w:hAnsi="Times New Roman"/>
          <w:b w:val="false"/>
          <w:i w:val="false"/>
          <w:color w:val="000000"/>
          <w:sz w:val="21"/>
        </w:rPr>
        <w:t>[Filed without Notice 2/24/95—published 3/15/95, effective 4/19/95]</w:t>
      </w:r>
    </w:p>
    <w:p>
      <w:pPr>
        <w:spacing w:before="0" w:after="0"/>
        <w:ind w:left="120"/>
        <w:jc w:val="center"/>
      </w:pPr>
      <w:r>
        <w:rPr>
          <w:rFonts w:ascii="Times New Roman" w:hAnsi="Times New Roman"/>
          <w:b w:val="false"/>
          <w:i w:val="false"/>
          <w:color w:val="000000"/>
          <w:sz w:val="21"/>
        </w:rPr>
        <w:t>[Filed 5/19/95, Notice 3/15/95—published 6/7/95, effective 7/12/95]</w:t>
      </w:r>
    </w:p>
    <w:p>
      <w:pPr>
        <w:spacing w:before="0" w:after="0"/>
        <w:ind w:left="120"/>
        <w:jc w:val="center"/>
      </w:pPr>
      <w:r>
        <w:rPr>
          <w:rFonts w:ascii="Times New Roman" w:hAnsi="Times New Roman"/>
          <w:b w:val="false"/>
          <w:i w:val="false"/>
          <w:color w:val="000000"/>
          <w:sz w:val="21"/>
        </w:rPr>
        <w:t>[Filed 8/25/95, Notice 6/7/95—published 9/13/95, effective 10/18/95]</w:t>
      </w:r>
    </w:p>
    <w:p>
      <w:pPr>
        <w:spacing w:before="0" w:after="0"/>
        <w:ind w:left="120"/>
        <w:jc w:val="center"/>
      </w:pPr>
      <w:r>
        <w:rPr>
          <w:rFonts w:ascii="Times New Roman" w:hAnsi="Times New Roman"/>
          <w:b w:val="false"/>
          <w:i w:val="false"/>
          <w:color w:val="000000"/>
          <w:sz w:val="21"/>
        </w:rPr>
        <w:t>[Filed 4/19/96, Notice 1/17/96—published 5/8/96, effective 6/12/96]</w:t>
      </w:r>
    </w:p>
    <w:p>
      <w:pPr>
        <w:spacing w:before="0" w:after="0"/>
        <w:ind w:left="120"/>
        <w:jc w:val="center"/>
      </w:pPr>
      <w:r>
        <w:rPr>
          <w:rFonts w:ascii="Times New Roman" w:hAnsi="Times New Roman"/>
          <w:b w:val="false"/>
          <w:i w:val="false"/>
          <w:color w:val="000000"/>
          <w:sz w:val="21"/>
        </w:rPr>
        <w:t>[Filed 9/20/96, Notice 6/19/96—published 10/9/96, effective 11/13/96]</w:t>
      </w:r>
    </w:p>
    <w:p>
      <w:pPr>
        <w:spacing w:before="0" w:after="0"/>
        <w:ind w:left="120"/>
        <w:jc w:val="center"/>
      </w:pPr>
      <w:r>
        <w:rPr>
          <w:rFonts w:ascii="Times New Roman" w:hAnsi="Times New Roman"/>
          <w:b w:val="false"/>
          <w:i w:val="false"/>
          <w:color w:val="000000"/>
          <w:sz w:val="21"/>
        </w:rPr>
        <w:t>[Filed 3/20/97, Notice 11/20/96—published 4/9/97, effective 5/14/97]</w:t>
      </w:r>
    </w:p>
    <w:p>
      <w:pPr>
        <w:spacing w:before="0" w:after="0"/>
        <w:ind w:left="120"/>
        <w:jc w:val="center"/>
      </w:pPr>
      <w:r>
        <w:rPr>
          <w:rFonts w:ascii="Times New Roman" w:hAnsi="Times New Roman"/>
          <w:b w:val="false"/>
          <w:i w:val="false"/>
          <w:color w:val="000000"/>
          <w:sz w:val="21"/>
        </w:rPr>
        <w:t>[Filed 6/27/97, Notice 3/12/97—published 7/16/97, effective 8/20/97]</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emergency 5/29/98—published 6/17/98, effective 6/29/98]</w:t>
      </w:r>
    </w:p>
    <w:p>
      <w:pPr>
        <w:spacing w:before="0" w:after="0"/>
        <w:ind w:left="120"/>
        <w:jc w:val="center"/>
      </w:pPr>
      <w:r>
        <w:rPr>
          <w:rFonts w:ascii="Times New Roman" w:hAnsi="Times New Roman"/>
          <w:b w:val="false"/>
          <w:i w:val="false"/>
          <w:color w:val="000000"/>
          <w:sz w:val="21"/>
        </w:rPr>
        <w:t>[Filed 8/21/98, Notice 6/17/98—published 9/9/98, effective 10/14/98]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10/30/98, Notice 8/26/98—published 11/18/98, effective 12/23/98]</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3/3/00, Notice 12/15/99—published 3/22/00, effective 4/26/00]</w:t>
      </w:r>
    </w:p>
    <w:p>
      <w:pPr>
        <w:spacing w:before="0" w:after="0"/>
        <w:ind w:left="120"/>
        <w:jc w:val="center"/>
      </w:pPr>
      <w:r>
        <w:rPr>
          <w:rFonts w:ascii="Times New Roman" w:hAnsi="Times New Roman"/>
          <w:b w:val="false"/>
          <w:i w:val="false"/>
          <w:color w:val="000000"/>
          <w:sz w:val="21"/>
        </w:rPr>
        <w:t>[Filed 1/19/01, Notice 6/14/00—published 2/7/01, effective 3/14/01]</w:t>
      </w:r>
    </w:p>
    <w:p>
      <w:pPr>
        <w:spacing w:before="0" w:after="0"/>
        <w:ind w:left="120"/>
        <w:jc w:val="center"/>
      </w:pPr>
      <w:r>
        <w:rPr>
          <w:rFonts w:ascii="Times New Roman" w:hAnsi="Times New Roman"/>
          <w:b w:val="false"/>
          <w:i w:val="false"/>
          <w:color w:val="000000"/>
          <w:sz w:val="21"/>
        </w:rPr>
        <w:t>[Filed 2/28/02, Notice 12/12/01—published 3/20/02, effective 4/24/02]</w:t>
      </w:r>
    </w:p>
    <w:p>
      <w:pPr>
        <w:spacing w:before="0" w:after="0"/>
        <w:ind w:left="120"/>
        <w:jc w:val="center"/>
      </w:pPr>
      <w:r>
        <w:rPr>
          <w:rFonts w:ascii="Times New Roman" w:hAnsi="Times New Roman"/>
          <w:b w:val="false"/>
          <w:i w:val="false"/>
          <w:color w:val="000000"/>
          <w:sz w:val="21"/>
        </w:rPr>
        <w:t>[Filed 8/29/03, Notice 6/11/03—published 9/17/03, effective 10/22/03]</w:t>
      </w:r>
    </w:p>
    <w:p>
      <w:pPr>
        <w:spacing w:before="0" w:after="0"/>
        <w:ind w:left="120"/>
        <w:jc w:val="center"/>
      </w:pPr>
      <w:r>
        <w:rPr>
          <w:rFonts w:ascii="Times New Roman" w:hAnsi="Times New Roman"/>
          <w:b w:val="false"/>
          <w:i w:val="false"/>
          <w:color w:val="000000"/>
          <w:sz w:val="21"/>
        </w:rPr>
        <w:t>[Filed 11/19/03, Notice 7/9/03—published 12/10/03, effective 1/14/04]</w:t>
      </w:r>
    </w:p>
    <w:p>
      <w:pPr>
        <w:spacing w:before="0" w:after="0"/>
        <w:ind w:left="120"/>
        <w:jc w:val="center"/>
      </w:pPr>
      <w:r>
        <w:rPr>
          <w:rFonts w:ascii="Times New Roman" w:hAnsi="Times New Roman"/>
          <w:b w:val="false"/>
          <w:i w:val="false"/>
          <w:color w:val="000000"/>
          <w:sz w:val="21"/>
        </w:rPr>
        <w:t>[Filed 2/26/04, Notice 12/10/03—published 3/17/04, effective 4/21/04]</w:t>
      </w:r>
    </w:p>
    <w:p>
      <w:pPr>
        <w:spacing w:before="0" w:after="0"/>
        <w:ind w:left="120"/>
        <w:jc w:val="center"/>
      </w:pPr>
      <w:r>
        <w:rPr>
          <w:rFonts w:ascii="Times New Roman" w:hAnsi="Times New Roman"/>
          <w:b w:val="false"/>
          <w:i w:val="false"/>
          <w:color w:val="000000"/>
          <w:sz w:val="21"/>
        </w:rPr>
        <w:t>[Filed 10/22/04, Notice 7/21/04—published 11/10/04, effective 12/15/04]</w:t>
      </w:r>
    </w:p>
    <w:p>
      <w:pPr>
        <w:spacing w:before="0" w:after="0"/>
        <w:ind w:left="120"/>
        <w:jc w:val="center"/>
      </w:pPr>
      <w:r>
        <w:rPr>
          <w:rFonts w:ascii="Times New Roman" w:hAnsi="Times New Roman"/>
          <w:b w:val="false"/>
          <w:i w:val="false"/>
          <w:color w:val="000000"/>
          <w:sz w:val="21"/>
        </w:rPr>
        <w:t>[Filed 2/25/05, Notice 12/8/04—published 3/16/05, effective 4/20/05]</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8/23/05, Notices 5/11/05, 7/6/05—published 9/14/05, effective 10/19/05]</w:t>
      </w:r>
    </w:p>
    <w:p>
      <w:pPr>
        <w:spacing w:before="0" w:after="0"/>
        <w:ind w:left="120"/>
        <w:jc w:val="center"/>
      </w:pPr>
      <w:r>
        <w:rPr>
          <w:rFonts w:ascii="Times New Roman" w:hAnsi="Times New Roman"/>
          <w:b w:val="false"/>
          <w:i w:val="false"/>
          <w:color w:val="000000"/>
          <w:sz w:val="21"/>
        </w:rPr>
        <w:t>[Filed 10/21/05, Notice 8/17/05—published 11/9/05, effective 12/14/05]</w:t>
      </w:r>
    </w:p>
    <w:p>
      <w:pPr>
        <w:spacing w:before="0" w:after="0"/>
        <w:ind w:left="120"/>
        <w:jc w:val="center"/>
      </w:pPr>
      <w:r>
        <w:rPr>
          <w:rFonts w:ascii="Times New Roman" w:hAnsi="Times New Roman"/>
          <w:b w:val="false"/>
          <w:i w:val="false"/>
          <w:color w:val="000000"/>
          <w:sz w:val="21"/>
        </w:rPr>
        <w:t>[Filed 5/17/06, Notice 1/18/06—published 6/7/06, effective 7/12/06]</w:t>
      </w:r>
    </w:p>
    <w:p>
      <w:pPr>
        <w:spacing w:before="0" w:after="0"/>
        <w:ind w:left="120"/>
        <w:jc w:val="center"/>
      </w:pPr>
      <w:r>
        <w:rPr>
          <w:rFonts w:ascii="Times New Roman" w:hAnsi="Times New Roman"/>
          <w:b w:val="false"/>
          <w:i w:val="false"/>
          <w:color w:val="000000"/>
          <w:sz w:val="21"/>
        </w:rPr>
        <w:t>[Filed 6/28/06, Notice 4/12/06—published 7/19/06, effective 8/23/06]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center"/>
      </w:pPr>
      <w:r>
        <w:rPr>
          <w:rFonts w:ascii="Times New Roman" w:hAnsi="Times New Roman"/>
          <w:b w:val="false"/>
          <w:i w:val="false"/>
          <w:color w:val="000000"/>
          <w:sz w:val="21"/>
        </w:rPr>
        <w:t>[Filed 1/23/08, Notice 8/29/07—published 2/13/08, effective 3/19/08]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7565B</w:t>
      </w:r>
      <w:r>
        <w:rPr>
          <w:rFonts w:ascii="Times New Roman" w:hAnsi="Times New Roman"/>
          <w:b w:val="false"/>
          <w:i w:val="false"/>
          <w:color w:val="000000"/>
          <w:sz w:val="21"/>
        </w:rPr>
        <w:t xml:space="preserve"> (Notice ARC 7306B,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7623B</w:t>
      </w:r>
      <w:r>
        <w:rPr>
          <w:rFonts w:ascii="Times New Roman" w:hAnsi="Times New Roman"/>
          <w:b w:val="false"/>
          <w:i w:val="false"/>
          <w:color w:val="000000"/>
          <w:sz w:val="21"/>
        </w:rPr>
        <w:t xml:space="preserve"> (Notice ARC 7395B, IAB 12/3/08)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8216B</w:t>
      </w:r>
      <w:r>
        <w:rPr>
          <w:rFonts w:ascii="Times New Roman" w:hAnsi="Times New Roman"/>
          <w:b w:val="false"/>
          <w:i w:val="false"/>
          <w:color w:val="000000"/>
          <w:sz w:val="21"/>
        </w:rPr>
        <w:t xml:space="preserve"> (Notice ARC 7622B, IAB 3/11/09; </w:t>
      </w:r>
      <w:r>
        <w:rPr>
          <w:rFonts w:ascii="Times New Roman" w:hAnsi="Times New Roman"/>
          <w:b w:val="false"/>
          <w:i w:val="false"/>
          <w:color w:val="000000"/>
          <w:sz w:val="21"/>
        </w:rPr>
        <w:t>Amended Notice ARC 7738B, IAB 5/6/09)</w:t>
      </w:r>
      <w:r>
        <w:rPr>
          <w:rFonts w:ascii="Times New Roman" w:hAnsi="Times New Roman"/>
          <w:b w:val="false"/>
          <w:i w:val="false"/>
          <w:color w:val="000000"/>
          <w:sz w:val="21"/>
        </w:rPr>
        <w:t>, IAB 10/7/09, effective 11/11/09]</w:t>
      </w:r>
      <w:r>
        <w:br/>
      </w:r>
      <w:r>
        <w:rPr>
          <w:rFonts w:ascii="Times New Roman" w:hAnsi="Times New Roman"/>
          <w:b w:val="false"/>
          <w:i w:val="false"/>
          <w:color w:val="000000"/>
          <w:sz w:val="21"/>
        </w:rPr>
        <w:t>[Filed ARC 8215B</w:t>
      </w:r>
      <w:r>
        <w:rPr>
          <w:rFonts w:ascii="Times New Roman" w:hAnsi="Times New Roman"/>
          <w:b w:val="false"/>
          <w:i w:val="false"/>
          <w:color w:val="000000"/>
          <w:sz w:val="21"/>
        </w:rPr>
        <w:t xml:space="preserve"> (Notice ARC 7855B,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9154B</w:t>
      </w:r>
      <w:r>
        <w:rPr>
          <w:rFonts w:ascii="Times New Roman" w:hAnsi="Times New Roman"/>
          <w:b w:val="false"/>
          <w:i w:val="false"/>
          <w:color w:val="000000"/>
          <w:sz w:val="21"/>
        </w:rPr>
        <w:t xml:space="preserve"> (Notice ARC 8845B, IAB 6/16/10)</w:t>
      </w:r>
      <w:r>
        <w:rPr>
          <w:rFonts w:ascii="Times New Roman" w:hAnsi="Times New Roman"/>
          <w:b w:val="false"/>
          <w:i w:val="false"/>
          <w:color w:val="000000"/>
          <w:sz w:val="21"/>
        </w:rPr>
        <w:t>, IAB 10/20/10, effective 11/24/10]</w:t>
      </w:r>
      <w:r>
        <w:rPr>
          <w:rFonts w:ascii="Times New Roman" w:hAnsi="Times New Roman"/>
          <w:b w:val="false"/>
          <w:i w:val="false"/>
          <w:color w:val="000000"/>
          <w:sz w:val="10"/>
        </w:rPr>
        <w:t>3</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[Editorial change: IAC Supplement 12/1/10]</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0329C</w:t>
      </w:r>
      <w:r>
        <w:rPr>
          <w:rFonts w:ascii="Times New Roman" w:hAnsi="Times New Roman"/>
          <w:b w:val="false"/>
          <w:i w:val="false"/>
          <w:color w:val="000000"/>
          <w:sz w:val="21"/>
        </w:rPr>
        <w:t xml:space="preserve"> (Notice ARC 0165C, IAB 6/13/12)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1014C</w:t>
      </w:r>
      <w:r>
        <w:rPr>
          <w:rFonts w:ascii="Times New Roman" w:hAnsi="Times New Roman"/>
          <w:b w:val="false"/>
          <w:i w:val="false"/>
          <w:color w:val="000000"/>
          <w:sz w:val="21"/>
        </w:rPr>
        <w:t xml:space="preserve"> (Notice ARC 0740C, IAB 5/15/13)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1561C</w:t>
      </w:r>
      <w:r>
        <w:rPr>
          <w:rFonts w:ascii="Times New Roman" w:hAnsi="Times New Roman"/>
          <w:b w:val="false"/>
          <w:i w:val="false"/>
          <w:color w:val="000000"/>
          <w:sz w:val="21"/>
        </w:rPr>
        <w:t xml:space="preserve"> (Notice ARC 1458C, IAB 5/14/14)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1913C</w:t>
      </w:r>
      <w:r>
        <w:rPr>
          <w:rFonts w:ascii="Times New Roman" w:hAnsi="Times New Roman"/>
          <w:b w:val="false"/>
          <w:i w:val="false"/>
          <w:color w:val="000000"/>
          <w:sz w:val="21"/>
        </w:rPr>
        <w:t xml:space="preserve"> (Notice ARC 1795C,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3679C</w:t>
      </w:r>
      <w:r>
        <w:rPr>
          <w:rFonts w:ascii="Times New Roman" w:hAnsi="Times New Roman"/>
          <w:b w:val="false"/>
          <w:i w:val="false"/>
          <w:color w:val="000000"/>
          <w:sz w:val="21"/>
        </w:rPr>
        <w:t xml:space="preserve"> (Notice ARC 3520C,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4335C</w:t>
      </w:r>
      <w:r>
        <w:rPr>
          <w:rFonts w:ascii="Times New Roman" w:hAnsi="Times New Roman"/>
          <w:b w:val="false"/>
          <w:i w:val="false"/>
          <w:color w:val="000000"/>
          <w:sz w:val="21"/>
        </w:rPr>
        <w:t xml:space="preserve"> (Notice ARC 4178C, IAB 12/19/18)</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5051C</w:t>
      </w:r>
      <w:r>
        <w:rPr>
          <w:rFonts w:ascii="Times New Roman" w:hAnsi="Times New Roman"/>
          <w:b w:val="false"/>
          <w:i w:val="false"/>
          <w:color w:val="000000"/>
          <w:sz w:val="21"/>
        </w:rPr>
        <w:t xml:space="preserve"> (Notice ARC 4961C, IAB 3/11/20)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5898C</w:t>
      </w:r>
      <w:r>
        <w:rPr>
          <w:rFonts w:ascii="Times New Roman" w:hAnsi="Times New Roman"/>
          <w:b w:val="false"/>
          <w:i w:val="false"/>
          <w:color w:val="000000"/>
          <w:sz w:val="21"/>
        </w:rPr>
        <w:t xml:space="preserve"> (Notice ARC 5678C,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6873C</w:t>
      </w:r>
      <w:r>
        <w:rPr>
          <w:rFonts w:ascii="Times New Roman" w:hAnsi="Times New Roman"/>
          <w:b w:val="false"/>
          <w:i w:val="false"/>
          <w:color w:val="000000"/>
          <w:sz w:val="21"/>
        </w:rPr>
        <w:t xml:space="preserve"> (Notice ARC 6631C,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7952C</w:t>
      </w:r>
      <w:r>
        <w:rPr>
          <w:rFonts w:ascii="Times New Roman" w:hAnsi="Times New Roman"/>
          <w:b w:val="false"/>
          <w:i w:val="false"/>
          <w:color w:val="000000"/>
          <w:sz w:val="21"/>
        </w:rPr>
        <w:t xml:space="preserve"> (Notice ARC 7215C, IAB 12/27/23)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7/10/24]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Objection, see filed rule [DEQ, 4.2(4)] published IAC Supp. 1/22/77, 3/9/77.</w:t>
      </w:r>
    </w:p>
    <w:p>
      <w:pPr>
        <w:pBdr>
          <w:bottom w:space="2"/>
        </w:pBdr>
        <w:spacing w:before="0" w:after="0"/>
        <w:ind w:left="120"/>
        <w:jc w:val="both"/>
      </w:pPr>
      <w:r>
        <w:rPr>
          <w:rFonts w:ascii="Times New Roman" w:hAnsi="Times New Roman"/>
          <w:b w:val="false"/>
          <w:i w:val="false"/>
          <w:color w:val="000000"/>
          <w:sz w:val="22"/>
        </w:rPr>
        <w:t>Effective date of 23.2(4) delayed 70 days by the Administrative Rules Review Committee on 9/14/83.</w:t>
      </w:r>
    </w:p>
    <w:p>
      <w:pPr>
        <w:pBdr>
          <w:bottom w:space="2"/>
        </w:pBdr>
        <w:spacing w:before="0" w:after="0"/>
        <w:ind w:left="120"/>
        <w:jc w:val="both"/>
      </w:pPr>
      <w:r>
        <w:rPr>
          <w:rFonts w:ascii="Times New Roman" w:hAnsi="Times New Roman"/>
          <w:b w:val="false"/>
          <w:i w:val="false"/>
          <w:color w:val="000000"/>
          <w:sz w:val="22"/>
        </w:rPr>
        <w:t xml:space="preserve">11/24/10 effective date of </w:t>
      </w:r>
      <w:hyperlink r:id="rId114">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xml:space="preserve">, introductory paragraph, and </w:t>
      </w:r>
      <w:hyperlink r:id="rId115">
        <w:r>
          <w:rPr>
            <w:rStyle w:val="Hyperlink"/>
            <w:rFonts w:ascii="Times New Roman" w:hAnsi="Times New Roman"/>
            <w:b w:val="false"/>
            <w:i w:val="false"/>
            <w:color w:val="000000"/>
            <w:sz w:val="22"/>
          </w:rPr>
          <w:t>23.1(4)“ev”</w:t>
        </w:r>
      </w:hyperlink>
      <w:r>
        <w:rPr>
          <w:rFonts w:ascii="Times New Roman" w:hAnsi="Times New Roman"/>
          <w:b w:val="false"/>
          <w:i w:val="false"/>
          <w:color w:val="000000"/>
          <w:sz w:val="22"/>
        </w:rPr>
        <w:t xml:space="preserve"> and “fa” to “fd” delayed 70 days by the Administrative Rules Review Committee at its meeting held November 9, 2010.</w:t>
      </w:r>
    </w:p>
    <w:p>
      <w:pPr>
        <w:pBdr>
          <w:bottom w:space="2"/>
        </w:pBdr>
        <w:spacing w:before="0" w:after="0"/>
        <w:ind w:left="120"/>
        <w:jc w:val="both"/>
      </w:pPr>
      <w:r>
        <w:rPr>
          <w:rFonts w:ascii="Times New Roman" w:hAnsi="Times New Roman"/>
          <w:b w:val="false"/>
          <w:i w:val="false"/>
          <w:color w:val="000000"/>
          <w:sz w:val="22"/>
        </w:rPr>
        <w:t>Amendment to 23.1(4), introductory paragraph, (ARC 9154B, Item 4) rescinded by Executive Order Number 72 on 4/4/11. Amendment removed and prior language restored IAC Supplement 4/20/11.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23.1.pdf" Type="http://schemas.openxmlformats.org/officeDocument/2006/relationships/hyperlink" Id="rId4"/>
    <Relationship TargetMode="External" Target="https://www.legis.iowa.gov/docs/iac/rule/567.23.1.pdf" Type="http://schemas.openxmlformats.org/officeDocument/2006/relationships/hyperlink" Id="rId5"/>
    <Relationship TargetMode="External" Target="https://www.legis.iowa.gov/docs/iac/rule/567.23.1.pdf" Type="http://schemas.openxmlformats.org/officeDocument/2006/relationships/hyperlink" Id="rId6"/>
    <Relationship TargetMode="External" Target="https://www.legis.iowa.gov/docs/iac/rule/567.23.1.pdf" Type="http://schemas.openxmlformats.org/officeDocument/2006/relationships/hyperlink" Id="rId7"/>
    <Relationship TargetMode="External" Target="https://www.legis.iowa.gov/docs/iac/chapter/567.21.pdf" Type="http://schemas.openxmlformats.org/officeDocument/2006/relationships/hyperlink" Id="rId8"/>
    <Relationship TargetMode="External" Target="https://www.legis.iowa.gov/docs/iac/rule/567.23.1.pdf" Type="http://schemas.openxmlformats.org/officeDocument/2006/relationships/hyperlink" Id="rId9"/>
    <Relationship TargetMode="External" Target="https://www.legis.iowa.gov/docs/iac/rule/567.23.1.pdf" Type="http://schemas.openxmlformats.org/officeDocument/2006/relationships/hyperlink" Id="rId10"/>
    <Relationship TargetMode="External" Target="https://www.legis.iowa.gov/docs/iac/rule/567.23.1.pdf" Type="http://schemas.openxmlformats.org/officeDocument/2006/relationships/hyperlink" Id="rId11"/>
    <Relationship TargetMode="External" Target="https://www.legis.iowa.gov/docs/iac/rule/567.23.1.pdf" Type="http://schemas.openxmlformats.org/officeDocument/2006/relationships/hyperlink" Id="rId12"/>
    <Relationship TargetMode="External" Target="https://www.legis.iowa.gov/docs/iac/rule/567.23.1.pdf" Type="http://schemas.openxmlformats.org/officeDocument/2006/relationships/hyperlink" Id="rId13"/>
    <Relationship TargetMode="External" Target="https://www.legis.iowa.gov/docs/iac/rule/567.23.1.pdf" Type="http://schemas.openxmlformats.org/officeDocument/2006/relationships/hyperlink" Id="rId14"/>
    <Relationship TargetMode="External" Target="https://www.legis.iowa.gov/docs/iac/chapter/567.20.pdf" Type="http://schemas.openxmlformats.org/officeDocument/2006/relationships/hyperlink" Id="rId15"/>
    <Relationship TargetMode="External" Target="https://www.legis.iowa.gov/docs/iac/chapter/567.35.pdf" Type="http://schemas.openxmlformats.org/officeDocument/2006/relationships/hyperlink" Id="rId16"/>
    <Relationship TargetMode="External" Target="https://www.legis.iowa.gov/docs/iac/rule/567.24.100.pdf" Type="http://schemas.openxmlformats.org/officeDocument/2006/relationships/hyperlink" Id="rId17"/>
    <Relationship TargetMode="External" Target="https://www.legis.iowa.gov/docs/iac/rule/567.23.1.pdf" Type="http://schemas.openxmlformats.org/officeDocument/2006/relationships/hyperlink" Id="rId18"/>
    <Relationship TargetMode="External" Target="https://www.legis.iowa.gov/docs/iac/rule/567.23.1.pdf" Type="http://schemas.openxmlformats.org/officeDocument/2006/relationships/hyperlink" Id="rId19"/>
    <Relationship TargetMode="External" Target="https://www.legis.iowa.gov/docs/iac/rule/567.23.1.pdf" Type="http://schemas.openxmlformats.org/officeDocument/2006/relationships/hyperlink" Id="rId20"/>
    <Relationship TargetMode="External" Target="https://www.legis.iowa.gov/docs/iac/rule/567.23.1.pdf" Type="http://schemas.openxmlformats.org/officeDocument/2006/relationships/hyperlink" Id="rId21"/>
    <Relationship TargetMode="External" Target="https://www.legis.iowa.gov/docs/iac/rule/567.23.1.pdf" Type="http://schemas.openxmlformats.org/officeDocument/2006/relationships/hyperlink" Id="rId22"/>
    <Relationship TargetMode="External" Target="https://www.legis.iowa.gov/docs/iac/rule/567.23.1.pdf" Type="http://schemas.openxmlformats.org/officeDocument/2006/relationships/hyperlink" Id="rId23"/>
    <Relationship TargetMode="External" Target="https://www.legis.iowa.gov/docs/iac/rule/567.24.101.pdf" Type="http://schemas.openxmlformats.org/officeDocument/2006/relationships/hyperlink" Id="rId24"/>
    <Relationship TargetMode="External" Target="https://www.legis.iowa.gov/docs/iac/rule/567.23.1.pdf" Type="http://schemas.openxmlformats.org/officeDocument/2006/relationships/hyperlink" Id="rId25"/>
    <Relationship TargetMode="External" Target="https://www.legis.iowa.gov/docs/iac/rule/567.24.104.pdf" Type="http://schemas.openxmlformats.org/officeDocument/2006/relationships/hyperlink" Id="rId26"/>
    <Relationship TargetMode="External" Target="https://www.legis.iowa.gov/docs/iac/rule/567.24.105.pdf" Type="http://schemas.openxmlformats.org/officeDocument/2006/relationships/hyperlink" Id="rId27"/>
    <Relationship TargetMode="External" Target="https://www.legis.iowa.gov/docs/iac/rule/567.23.1.pdf" Type="http://schemas.openxmlformats.org/officeDocument/2006/relationships/hyperlink" Id="rId28"/>
    <Relationship TargetMode="External" Target="https://www.legis.iowa.gov/docs/iac/rule/567.23.1.pdf" Type="http://schemas.openxmlformats.org/officeDocument/2006/relationships/hyperlink" Id="rId29"/>
    <Relationship TargetMode="External" Target="https://www.legis.iowa.gov/docs/iac/rule/567.23.1.pdf" Type="http://schemas.openxmlformats.org/officeDocument/2006/relationships/hyperlink" Id="rId30"/>
    <Relationship TargetMode="External" Target="https://www.legis.iowa.gov/docs/iac/rule/567.23.1.pdf" Type="http://schemas.openxmlformats.org/officeDocument/2006/relationships/hyperlink" Id="rId31"/>
    <Relationship TargetMode="External" Target="https://www.legis.iowa.gov/docs/iac/rule/567.23.1.pdf" Type="http://schemas.openxmlformats.org/officeDocument/2006/relationships/hyperlink" Id="rId32"/>
    <Relationship TargetMode="External" Target="https://www.legis.iowa.gov/docs/iac/rule/567.23.1.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rule/567.23.1.pdf" Type="http://schemas.openxmlformats.org/officeDocument/2006/relationships/hyperlink" Id="rId36"/>
    <Relationship TargetMode="External" Target="https://www.legis.iowa.gov/docs/iac/chapter/567.20.pdf" Type="http://schemas.openxmlformats.org/officeDocument/2006/relationships/hyperlink" Id="rId37"/>
    <Relationship TargetMode="External" Target="https://www.legis.iowa.gov/docs/iac/chapter/567.35.pdf" Type="http://schemas.openxmlformats.org/officeDocument/2006/relationships/hyperlink" Id="rId38"/>
    <Relationship TargetMode="External" Target="https://www.legis.iowa.gov/docs/ico/chapter/455B.pdf" Type="http://schemas.openxmlformats.org/officeDocument/2006/relationships/hyperlink" Id="rId39"/>
    <Relationship TargetMode="External" Target="https://www.legis.iowa.gov/docs/ico/chapter/455B.pdf" Type="http://schemas.openxmlformats.org/officeDocument/2006/relationships/hyperlink" Id="rId40"/>
    <Relationship TargetMode="External" Target="https://www.legis.iowa.gov/docs/ico/chapter/455B.pdf" Type="http://schemas.openxmlformats.org/officeDocument/2006/relationships/hyperlink" Id="rId41"/>
    <Relationship TargetMode="External" Target="https://www.legis.iowa.gov/docs/iac/rule/567.23.2.pdf" Type="http://schemas.openxmlformats.org/officeDocument/2006/relationships/hyperlink" Id="rId42"/>
    <Relationship TargetMode="External" Target="https://www.legis.iowa.gov/docs/iac/rule/567.23.2.pdf" Type="http://schemas.openxmlformats.org/officeDocument/2006/relationships/hyperlink" Id="rId43"/>
    <Relationship TargetMode="External" Target="https://www.legis.iowa.gov/docs/iac/rule/567.23.2.pdf" Type="http://schemas.openxmlformats.org/officeDocument/2006/relationships/hyperlink" Id="rId44"/>
    <Relationship TargetMode="External" Target="https://www.legis.iowa.gov/docs/iac/rule/567.21.2.pdf" Type="http://schemas.openxmlformats.org/officeDocument/2006/relationships/hyperlink" Id="rId45"/>
    <Relationship TargetMode="External" Target="https://www.legis.iowa.gov/docs/iac/rule/567.21.2.pdf" Type="http://schemas.openxmlformats.org/officeDocument/2006/relationships/hyperlink" Id="rId46"/>
    <Relationship TargetMode="External" Target="https://www.legis.iowa.gov/docs/iac/chapter/567.100.pdf" Type="http://schemas.openxmlformats.org/officeDocument/2006/relationships/hyperlink" Id="rId47"/>
    <Relationship TargetMode="External" Target="https://www.legis.iowa.gov/docs/iac/chapter/567.130.pdf" Type="http://schemas.openxmlformats.org/officeDocument/2006/relationships/hyperlink" Id="rId48"/>
    <Relationship TargetMode="External" Target="https://www.legis.iowa.gov/docs/iac/chapter/567.60.pdf" Type="http://schemas.openxmlformats.org/officeDocument/2006/relationships/hyperlink" Id="rId49"/>
    <Relationship TargetMode="External" Target="https://www.legis.iowa.gov/docs/iac/chapter/567.64.pdf" Type="http://schemas.openxmlformats.org/officeDocument/2006/relationships/hyperlink" Id="rId50"/>
    <Relationship TargetMode="External" Target="https://www.legis.iowa.gov/docs/iac/rule/567.23.2.pdf" Type="http://schemas.openxmlformats.org/officeDocument/2006/relationships/hyperlink" Id="rId51"/>
    <Relationship TargetMode="External" Target="https://www.legis.iowa.gov/docs/iac/rule/567.23.2.pdf" Type="http://schemas.openxmlformats.org/officeDocument/2006/relationships/hyperlink" Id="rId52"/>
    <Relationship TargetMode="External" Target="https://www.legis.iowa.gov/docs/iac/rule/567.23.2.pdf" Type="http://schemas.openxmlformats.org/officeDocument/2006/relationships/hyperlink" Id="rId53"/>
    <Relationship TargetMode="External" Target="https://www.legis.iowa.gov/docs/iac/rule/567.23.2.pdf" Type="http://schemas.openxmlformats.org/officeDocument/2006/relationships/hyperlink" Id="rId54"/>
    <Relationship TargetMode="External" Target="https://www.legis.iowa.gov/docs/iac/rule/567.23.2.pdf" Type="http://schemas.openxmlformats.org/officeDocument/2006/relationships/hyperlink" Id="rId55"/>
    <Relationship TargetMode="External" Target="https://www.legis.iowa.gov/docs/ico/chapter/455B.pdf" Type="http://schemas.openxmlformats.org/officeDocument/2006/relationships/hyperlink" Id="rId56"/>
    <Relationship TargetMode="External" Target="https://www.legis.iowa.gov/docs/iac/rule/567.23.3.pdf" Type="http://schemas.openxmlformats.org/officeDocument/2006/relationships/hyperlink" Id="rId57"/>
    <Relationship TargetMode="External" Target="https://www.legis.iowa.gov/docs/iac/rule/567.23.3.pdf" Type="http://schemas.openxmlformats.org/officeDocument/2006/relationships/hyperlink" Id="rId58"/>
    <Relationship TargetMode="External" Target="https://www.legis.iowa.gov/docs/iac/rule/567.23.3.pdf" Type="http://schemas.openxmlformats.org/officeDocument/2006/relationships/hyperlink" Id="rId59"/>
    <Relationship TargetMode="External" Target="https://www.legis.iowa.gov/docs/iac/rule/567.23.2.pdf" Type="http://schemas.openxmlformats.org/officeDocument/2006/relationships/hyperlink" Id="rId60"/>
    <Relationship TargetMode="External" Target="https://www.legis.iowa.gov/docs/iac/rule/567.23.2.pdf" Type="http://schemas.openxmlformats.org/officeDocument/2006/relationships/hyperlink" Id="rId61"/>
    <Relationship TargetMode="External" Target="https://www.legis.iowa.gov/docs/ico/chapter/362.pdf" Type="http://schemas.openxmlformats.org/officeDocument/2006/relationships/hyperlink" Id="rId62"/>
    <Relationship TargetMode="External" Target="https://www.legis.iowa.gov/docs/ico/chapter/362.pdf" Type="http://schemas.openxmlformats.org/officeDocument/2006/relationships/hyperlink" Id="rId63"/>
    <Relationship TargetMode="External" Target="https://www.legis.iowa.gov/docs/iac/rule/567.23.2.pdf" Type="http://schemas.openxmlformats.org/officeDocument/2006/relationships/hyperlink" Id="rId64"/>
    <Relationship TargetMode="External" Target="https://www.legis.iowa.gov/docs/ico/chapter/362.pdf" Type="http://schemas.openxmlformats.org/officeDocument/2006/relationships/hyperlink" Id="rId65"/>
    <Relationship TargetMode="External" Target="https://www.legis.iowa.gov/docs/iac/rule/567.23.2.pdf" Type="http://schemas.openxmlformats.org/officeDocument/2006/relationships/hyperlink" Id="rId66"/>
    <Relationship TargetMode="External" Target="https://www.legis.iowa.gov/docs/ico/chapter/362.pdf" Type="http://schemas.openxmlformats.org/officeDocument/2006/relationships/hyperlink" Id="rId67"/>
    <Relationship TargetMode="External" Target="https://www.legis.iowa.gov/docs/iac/rule/567.21.2.pdf" Type="http://schemas.openxmlformats.org/officeDocument/2006/relationships/hyperlink" Id="rId68"/>
    <Relationship TargetMode="External" Target="https://www.legis.iowa.gov/docs/iac/rule/567.23.2.pdf" Type="http://schemas.openxmlformats.org/officeDocument/2006/relationships/hyperlink" Id="rId69"/>
    <Relationship TargetMode="External" Target="https://www.legis.iowa.gov/docs/iac/rule/567.21.2.pdf" Type="http://schemas.openxmlformats.org/officeDocument/2006/relationships/hyperlink" Id="rId70"/>
    <Relationship TargetMode="External" Target="https://www.legis.iowa.gov/docs/iac/chapter/567.100.pdf" Type="http://schemas.openxmlformats.org/officeDocument/2006/relationships/hyperlink" Id="rId71"/>
    <Relationship TargetMode="External" Target="https://www.legis.iowa.gov/docs/iac/chapter/567.130.pdf" Type="http://schemas.openxmlformats.org/officeDocument/2006/relationships/hyperlink" Id="rId72"/>
    <Relationship TargetMode="External" Target="https://www.legis.iowa.gov/docs/iac/chapter/567.60.pdf" Type="http://schemas.openxmlformats.org/officeDocument/2006/relationships/hyperlink" Id="rId73"/>
    <Relationship TargetMode="External" Target="https://www.legis.iowa.gov/docs/iac/chapter/567.64.pdf" Type="http://schemas.openxmlformats.org/officeDocument/2006/relationships/hyperlink" Id="rId74"/>
    <Relationship TargetMode="External" Target="https://www.legis.iowa.gov/docs/iac/rule/567.23.1.pdf" Type="http://schemas.openxmlformats.org/officeDocument/2006/relationships/hyperlink" Id="rId75"/>
    <Relationship TargetMode="External" Target="https://www.legis.iowa.gov/docs/iac/rule/567.23.1.pdf" Type="http://schemas.openxmlformats.org/officeDocument/2006/relationships/hyperlink" Id="rId76"/>
    <Relationship TargetMode="External" Target="https://www.legis.iowa.gov/docs/iac/chapter/567.21.pdf" Type="http://schemas.openxmlformats.org/officeDocument/2006/relationships/hyperlink" Id="rId77"/>
    <Relationship TargetMode="External" Target="https://www.legis.iowa.gov/docs/iac/rule/567.23.1.pdf" Type="http://schemas.openxmlformats.org/officeDocument/2006/relationships/hyperlink" Id="rId78"/>
    <Relationship TargetMode="External" Target="https://www.legis.iowa.gov/docs/iac/chapter/567.25.pdf" Type="http://schemas.openxmlformats.org/officeDocument/2006/relationships/hyperlink" Id="rId79"/>
    <Relationship TargetMode="External" Target="https://www.legis.iowa.gov/docs/iac/rule/567.23.1.pdf" Type="http://schemas.openxmlformats.org/officeDocument/2006/relationships/hyperlink" Id="rId80"/>
    <Relationship TargetMode="External" Target="https://www.legis.iowa.gov/docs/iac/rule/567.23.3.pdf" Type="http://schemas.openxmlformats.org/officeDocument/2006/relationships/hyperlink" Id="rId81"/>
    <Relationship TargetMode="External" Target="https://www.legis.iowa.gov/docs/ico/chapter/657.pdf" Type="http://schemas.openxmlformats.org/officeDocument/2006/relationships/hyperlink" Id="rId82"/>
    <Relationship TargetMode="External" Target="https://www.legis.iowa.gov/docs/iac/rule/567.23.3.pdf" Type="http://schemas.openxmlformats.org/officeDocument/2006/relationships/hyperlink" Id="rId83"/>
    <Relationship TargetMode="External" Target="https://www.legis.iowa.gov/docs/iac/rule/567.23.1.pdf" Type="http://schemas.openxmlformats.org/officeDocument/2006/relationships/hyperlink" Id="rId84"/>
    <Relationship TargetMode="External" Target="https://www.legis.iowa.gov/docs/iac/rule/567.23.3.pdf" Type="http://schemas.openxmlformats.org/officeDocument/2006/relationships/hyperlink" Id="rId85"/>
    <Relationship TargetMode="External" Target="https://www.legis.iowa.gov/docs/iac/rule/567.23.3.pdf" Type="http://schemas.openxmlformats.org/officeDocument/2006/relationships/hyperlink" Id="rId86"/>
    <Relationship TargetMode="External" Target="https://www.legis.iowa.gov/docs/iac/rule/567.23.4.pdf" Type="http://schemas.openxmlformats.org/officeDocument/2006/relationships/hyperlink" Id="rId87"/>
    <Relationship TargetMode="External" Target="https://www.legis.iowa.gov/docs/iac/rule/567.23.1.pdf" Type="http://schemas.openxmlformats.org/officeDocument/2006/relationships/hyperlink" Id="rId88"/>
    <Relationship TargetMode="External" Target="https://www.legis.iowa.gov/docs/iac/rule/567.23.3.pdf" Type="http://schemas.openxmlformats.org/officeDocument/2006/relationships/hyperlink" Id="rId89"/>
    <Relationship TargetMode="External" Target="https://www.legis.iowa.gov/docs/iac/rule/567.23.3.pdf" Type="http://schemas.openxmlformats.org/officeDocument/2006/relationships/hyperlink" Id="rId90"/>
    <Relationship TargetMode="External" Target="https://www.legis.iowa.gov/docs/iac/rule/567.23.4.pdf" Type="http://schemas.openxmlformats.org/officeDocument/2006/relationships/hyperlink" Id="rId91"/>
    <Relationship TargetMode="External" Target="https://www.legis.iowa.gov/docs/iac/rule/567.23.3.pdf" Type="http://schemas.openxmlformats.org/officeDocument/2006/relationships/hyperlink" Id="rId92"/>
    <Relationship TargetMode="External" Target="https://www.legis.iowa.gov/docs/iac/chapter/567.21.pdf" Type="http://schemas.openxmlformats.org/officeDocument/2006/relationships/hyperlink" Id="rId93"/>
    <Relationship TargetMode="External" Target="https://www.legis.iowa.gov/docs/iac/rule/567.23.3.pdf" Type="http://schemas.openxmlformats.org/officeDocument/2006/relationships/hyperlink" Id="rId94"/>
    <Relationship TargetMode="External" Target="https://www.legis.iowa.gov/docs/iac/rule/567.23.1.pdf" Type="http://schemas.openxmlformats.org/officeDocument/2006/relationships/hyperlink" Id="rId95"/>
    <Relationship TargetMode="External" Target="https://www.legis.iowa.gov/docs/iac/rule/567.23.3.pdf" Type="http://schemas.openxmlformats.org/officeDocument/2006/relationships/hyperlink" Id="rId96"/>
    <Relationship TargetMode="External" Target="https://www.legis.iowa.gov/docs/iac/rule/567.23.3.pdf" Type="http://schemas.openxmlformats.org/officeDocument/2006/relationships/hyperlink" Id="rId97"/>
    <Relationship TargetMode="External" Target="https://www.legis.iowa.gov/docs/iac/rule/567.23.3.pdf" Type="http://schemas.openxmlformats.org/officeDocument/2006/relationships/hyperlink" Id="rId98"/>
    <Relationship TargetMode="External" Target="https://www.legis.iowa.gov/docs/iac/rule/567.23.3.pdf" Type="http://schemas.openxmlformats.org/officeDocument/2006/relationships/hyperlink" Id="rId99"/>
    <Relationship TargetMode="External" Target="https://www.legis.iowa.gov/docs/iac/chapter/567.21.pdf" Type="http://schemas.openxmlformats.org/officeDocument/2006/relationships/hyperlink" Id="rId100"/>
    <Relationship TargetMode="External" Target="https://www.legis.iowa.gov/docs/iac/chapter/567.21.pdf" Type="http://schemas.openxmlformats.org/officeDocument/2006/relationships/hyperlink" Id="rId101"/>
    <Relationship TargetMode="External" Target="https://www.legis.iowa.gov/docs/iac/rule/567.22.10.pdf" Type="http://schemas.openxmlformats.org/officeDocument/2006/relationships/hyperlink" Id="rId102"/>
    <Relationship TargetMode="External" Target="https://www.legis.iowa.gov/docs/iac/rule/567.22.10.pdf" Type="http://schemas.openxmlformats.org/officeDocument/2006/relationships/hyperlink" Id="rId103"/>
    <Relationship TargetMode="External" Target="https://www.legis.iowa.gov/docs/iac/rule/567.22.10.pdf" Type="http://schemas.openxmlformats.org/officeDocument/2006/relationships/hyperlink" Id="rId104"/>
    <Relationship TargetMode="External" Target="https://www.legis.iowa.gov/docs/iac/rule/567.22.10.pdf" Type="http://schemas.openxmlformats.org/officeDocument/2006/relationships/hyperlink" Id="rId105"/>
    <Relationship TargetMode="External" Target="https://www.legis.iowa.gov/docs/iac/rule/567.22.10.pdf" Type="http://schemas.openxmlformats.org/officeDocument/2006/relationships/hyperlink" Id="rId106"/>
    <Relationship TargetMode="External" Target="https://www.legis.iowa.gov/docs/iac/rule/567.23.4.pdf" Type="http://schemas.openxmlformats.org/officeDocument/2006/relationships/hyperlink" Id="rId107"/>
    <Relationship TargetMode="External" Target="https://www.legis.iowa.gov/docs/iac/chapter/567.65.pdf" Type="http://schemas.openxmlformats.org/officeDocument/2006/relationships/hyperlink" Id="rId108"/>
    <Relationship TargetMode="External" Target="https://www.legis.iowa.gov/docs/iac/rule/567.23.5.pdf" Type="http://schemas.openxmlformats.org/officeDocument/2006/relationships/hyperlink" Id="rId109"/>
    <Relationship TargetMode="External" Target="https://www.legis.iowa.gov/docs/ico/chapter/455B.pdf" Type="http://schemas.openxmlformats.org/officeDocument/2006/relationships/hyperlink" Id="rId110"/>
    <Relationship TargetMode="External" Target="https://www.legis.iowa.gov/docs/iac/rule/567.23.5.pdf" Type="http://schemas.openxmlformats.org/officeDocument/2006/relationships/hyperlink" Id="rId111"/>
    <Relationship TargetMode="External" Target="https://www.legis.iowa.gov/docs/iac/chapter/567.64.pdf" Type="http://schemas.openxmlformats.org/officeDocument/2006/relationships/hyperlink" Id="rId112"/>
    <Relationship TargetMode="External" Target="https://www.legis.iowa.gov/docs/ico/chapter/455B.pdf" Type="http://schemas.openxmlformats.org/officeDocument/2006/relationships/hyperlink" Id="rId113"/>
    <Relationship TargetMode="External" Target="https://www.legis.iowa.gov/docs/iac/rule/567.23.1.pdf" Type="http://schemas.openxmlformats.org/officeDocument/2006/relationships/hyperlink" Id="rId114"/>
    <Relationship TargetMode="External" Target="https://www.legis.iowa.gov/docs/iac/rule/567.23.1.pdf" Type="http://schemas.openxmlformats.org/officeDocument/2006/relationships/hyperlink" Id="rId1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