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both"/>
      </w:pPr>
      <w:r>
        <w:rPr>
          <w:rFonts w:ascii="Times New Roman" w:hAnsi="Times New Roman"/>
          <w:b w:val="false"/>
          <w:i w:val="false"/>
          <w:color w:val="000000"/>
          <w:sz w:val="22"/>
        </w:rPr>
        <w:t xml:space="preserve">The state public defender adopts the fair information practices segments of the Uniform Administrative Rules which are published on the general assembly’s website at </w:t>
      </w:r>
      <w:hyperlink r:id="rId4">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with the following amendments:</w:t>
      </w:r>
    </w:p>
    <w:p>
      <w:pPr>
        <w:spacing w:before="0" w:after="0"/>
        <w:ind w:left="120"/>
        <w:jc w:val="both"/>
      </w:pPr>
      <w:r>
        <w:rPr>
          <w:rFonts w:ascii="Times New Roman" w:hAnsi="Times New Roman"/>
          <w:b/>
          <w:i w:val="false"/>
          <w:color w:val="000000"/>
          <w:sz w:val="22"/>
        </w:rPr>
        <w:t>493—4.1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“state public defender”.</w:t>
      </w:r>
    </w:p>
    <w:p>
      <w:pPr>
        <w:spacing w:before="0" w:after="0"/>
        <w:ind w:left="120"/>
        <w:jc w:val="both"/>
      </w:pPr>
      <w:r>
        <w:rPr>
          <w:rFonts w:ascii="Times New Roman" w:hAnsi="Times New Roman"/>
          <w:b/>
          <w:i w:val="false"/>
          <w:color w:val="000000"/>
          <w:sz w:val="22"/>
        </w:rPr>
        <w:t>493—4.3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“state public defender”. In lieu of the words “(insert agency name and address)”, insert “Office of the State Public Defender,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493—4.6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Procedures by which additions, dissents, or objections may be entered into certain records. </w:t>
      </w:r>
      <w:r>
        <w:rPr>
          <w:rFonts w:ascii="Times New Roman" w:hAnsi="Times New Roman"/>
          <w:b w:val="false"/>
          <w:i w:val="false"/>
          <w:color w:val="000000"/>
          <w:sz w:val="22"/>
        </w:rPr>
        <w:t>In lieu of the words “(designate office)”, insert “the office of the state public defender”.</w:t>
      </w:r>
    </w:p>
    <w:p>
      <w:pPr>
        <w:spacing w:before="0" w:after="0"/>
        <w:ind w:left="120"/>
        <w:jc w:val="both"/>
      </w:pPr>
      <w:r>
        <w:rPr>
          <w:rFonts w:ascii="Times New Roman" w:hAnsi="Times New Roman"/>
          <w:b/>
          <w:i w:val="false"/>
          <w:color w:val="000000"/>
          <w:sz w:val="22"/>
        </w:rPr>
        <w:t>493—4.9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6">
        <w:r>
          <w:rPr>
            <w:rStyle w:val="Hyperlink"/>
            <w:rFonts w:ascii="Times New Roman" w:hAnsi="Times New Roman"/>
            <w:b w:val="false"/>
            <w:i w:val="false"/>
            <w:color w:val="000000"/>
            <w:sz w:val="22"/>
          </w:rPr>
          <w:t>493—4.10(17A,22)</w:t>
        </w:r>
      </w:hyperlink>
      <w:r>
        <w:rPr>
          <w:rFonts w:ascii="Times New Roman" w:hAnsi="Times New Roman"/>
          <w:b w:val="false"/>
          <w:i w:val="false"/>
          <w:color w:val="000000"/>
          <w:sz w:val="22"/>
        </w:rPr>
        <w:t xml:space="preserve">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493—4.10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493—4.11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9">
        <w:r>
          <w:rPr>
            <w:rStyle w:val="Hyperlink"/>
            <w:rFonts w:ascii="Times New Roman" w:hAnsi="Times New Roman"/>
            <w:b w:val="false"/>
            <w:i w:val="false"/>
            <w:color w:val="000000"/>
            <w:sz w:val="22"/>
          </w:rPr>
          <w:t>493—4.7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the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493—4.12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request to review confidential records may be filed by the subject of the record as provided in rule </w:t>
      </w:r>
      <w:hyperlink r:id="rId10">
        <w:r>
          <w:rPr>
            <w:rStyle w:val="Hyperlink"/>
            <w:rFonts w:ascii="Times New Roman" w:hAnsi="Times New Roman"/>
            <w:b w:val="false"/>
            <w:i w:val="false"/>
            <w:color w:val="000000"/>
            <w:sz w:val="22"/>
          </w:rPr>
          <w:t>493—4.6(17A,22)</w:t>
        </w:r>
      </w:hyperlink>
      <w:r>
        <w:rPr>
          <w:rFonts w:ascii="Times New Roman" w:hAnsi="Times New Roman"/>
          <w:b w:val="false"/>
          <w:i w:val="false"/>
          <w:color w:val="000000"/>
          <w:sz w:val="22"/>
        </w:rPr>
        <w:t>.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state public defender may take reasonable steps to protect confidential information relating to another subject.</w:t>
      </w:r>
    </w:p>
    <w:p>
      <w:pPr>
        <w:spacing w:before="0" w:after="0"/>
        <w:ind w:left="120"/>
        <w:jc w:val="both"/>
      </w:pPr>
      <w:r>
        <w:rPr>
          <w:rFonts w:ascii="Times New Roman" w:hAnsi="Times New Roman"/>
          <w:b/>
          <w:i w:val="false"/>
          <w:color w:val="000000"/>
          <w:sz w:val="22"/>
        </w:rPr>
        <w:t>493—4.13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3">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8">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1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R.C.P. </w:t>
      </w:r>
      <w:r>
        <w:rPr>
          <w:rFonts w:ascii="Times New Roman" w:hAnsi="Times New Roman"/>
          <w:b w:val="false"/>
          <w:i w:val="false"/>
          <w:color w:val="000000"/>
          <w:sz w:val="22"/>
        </w:rPr>
        <w:t>1.503</w:t>
      </w:r>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investigative reports. (Iowa Code section </w:t>
      </w:r>
      <w:hyperlink r:id="rId2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for compensation and reimbursement for legal assistance and supporting documents submitted to the state public defender for payment of costs incurred in the legal representation of an indigent person pursuant to Iowa Code section </w:t>
      </w:r>
      <w:hyperlink r:id="rId23">
        <w:r>
          <w:rPr>
            <w:rStyle w:val="Hyperlink"/>
            <w:rFonts w:ascii="Times New Roman" w:hAnsi="Times New Roman"/>
            <w:b w:val="false"/>
            <w:i w:val="false"/>
            <w:color w:val="000000"/>
            <w:sz w:val="22"/>
          </w:rPr>
          <w:t>13B.4B</w:t>
        </w:r>
      </w:hyperlink>
      <w:r>
        <w:rPr>
          <w:rFonts w:ascii="Times New Roman" w:hAnsi="Times New Roman"/>
          <w:b w:val="false"/>
          <w:i w:val="false"/>
          <w:color w:val="000000"/>
          <w:sz w:val="22"/>
        </w:rPr>
        <w:t>, except as disclosure is authorized under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records considered confidential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state public defender maintains systems of records which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 xml:space="preserve">By authority of Iowa Code chapter </w:t>
      </w:r>
      <w:hyperlink r:id="rId24">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the appellate defender division maintains information and records relating to criminal and postconviction relief cases that are being appealed. Records contain names and identifying numbers of persons involved in these cases. Case information is stored in a data processing system and may be compared with information in any data processing system. By authority of Iowa Code section </w:t>
      </w:r>
      <w:hyperlink r:id="rId25">
        <w:r>
          <w:rPr>
            <w:rStyle w:val="Hyperlink"/>
            <w:rFonts w:ascii="Times New Roman" w:hAnsi="Times New Roman"/>
            <w:b w:val="false"/>
            <w:i w:val="false"/>
            <w:color w:val="000000"/>
            <w:sz w:val="22"/>
          </w:rPr>
          <w:t>910A.13</w:t>
        </w:r>
      </w:hyperlink>
      <w:r>
        <w:rPr>
          <w:rFonts w:ascii="Times New Roman" w:hAnsi="Times New Roman"/>
          <w:b w:val="false"/>
          <w:i w:val="false"/>
          <w:color w:val="000000"/>
          <w:sz w:val="22"/>
        </w:rPr>
        <w:t xml:space="preserve">, the names of child victims shall not be disclosed. Confidential juvenile records under Iowa Code section </w:t>
      </w:r>
      <w:hyperlink r:id="rId26">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shall not be disclosed except as otherwise permitted by law. Presentence investigation reports in the possession of the appellate defender are confidential records pursuant to Iowa Code section </w:t>
      </w:r>
      <w:hyperlink r:id="rId27">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Litigation files. Litigation files or records contain information regarding litigation or anticipated litigation, which include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Contracts. Contractual agreements are maintained by the state public defender. These records contain personally identifiable information when the agreement is with a specific individual. In those instances, the records include the name, address, and social security number of the contracting attorney. Other information in these records may include the proposal of the contracting attorney, budget figures, correspondence, and business information. Personally identifiable information is contained in a data processing system and may be compared with information in any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Personnel files contain information required for tax withholding, information concerning employee benefits, affirmative action reports, and other information concerning the employer-employee relationship. Some of this information is confidential under Iowa Code section </w:t>
      </w:r>
      <w:hyperlink r:id="rId28">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Other groups of records are maintained by the state public defender other than the records described in rule </w:t>
      </w:r>
      <w:hyperlink r:id="rId29">
        <w:r>
          <w:rPr>
            <w:rStyle w:val="Hyperlink"/>
            <w:rFonts w:ascii="Times New Roman" w:hAnsi="Times New Roman"/>
            <w:b w:val="false"/>
            <w:i w:val="false"/>
            <w:color w:val="000000"/>
            <w:sz w:val="22"/>
          </w:rPr>
          <w:t>493—4.14(22)</w:t>
        </w:r>
      </w:hyperlink>
      <w:r>
        <w:rPr>
          <w:rFonts w:ascii="Times New Roman" w:hAnsi="Times New Roman"/>
          <w:b w:val="false"/>
          <w:i w:val="false"/>
          <w:color w:val="000000"/>
          <w:sz w:val="22"/>
        </w:rPr>
        <w:t>. These records are routinely available to the public; however, the agencies’ files may contain confidential information. The records may contain information about individuals. All records are stored on paper and in some cases in automated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30">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available for public inspection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Commission records. </w:t>
      </w:r>
      <w:r>
        <w:rPr>
          <w:rFonts w:ascii="Times New Roman" w:hAnsi="Times New Roman"/>
          <w:b w:val="false"/>
          <w:i w:val="false"/>
          <w:color w:val="000000"/>
          <w:sz w:val="22"/>
        </w:rPr>
        <w:t xml:space="preserve">Agendas, minutes, and materials presented to the indigent defense advisory commission are available from the office of the state public defender, except those records concerning closed sessions exempt under Iowa Code section </w:t>
      </w:r>
      <w:hyperlink r:id="rId3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Commission records contain information about people who participate in meetings. This information is collected pursuant to Iowa Code section </w:t>
      </w:r>
      <w:hyperlink r:id="rId32">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on the state public defender system and the delivery of indigent defense services are available from the office of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9938B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10/7/92 after Notice 8/19/92—published 10/28/92, effective 10/7/92]</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ARC 9938B</w:t>
      </w:r>
      <w:r>
        <w:rPr>
          <w:rFonts w:ascii="Times New Roman" w:hAnsi="Times New Roman"/>
          <w:b w:val="false"/>
          <w:i w:val="false"/>
          <w:color w:val="000000"/>
          <w:sz w:val="21"/>
        </w:rPr>
        <w:t xml:space="preserve"> (Notice ARC 9817B,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legis.iowa.gov/DOCS/Rules/Current/UniformRules.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ac/rule/493.4.10.pdf" Type="http://schemas.openxmlformats.org/officeDocument/2006/relationships/hyperlink" Id="rId6"/>
    <Relationship TargetMode="External" Target="https://www.legis.iowa.gov/docs/ico/chapter/2A.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493.4.7.pdf" Type="http://schemas.openxmlformats.org/officeDocument/2006/relationships/hyperlink" Id="rId9"/>
    <Relationship TargetMode="External" Target="https://www.legis.iowa.gov/docs/iac/rule/493.4.6.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72.pdf" Type="http://schemas.openxmlformats.org/officeDocument/2006/relationships/hyperlink" Id="rId13"/>
    <Relationship TargetMode="External" Target="https://www.legis.iowa.gov/docs/ico/chapter/422.pdf" Type="http://schemas.openxmlformats.org/officeDocument/2006/relationships/hyperlink" Id="rId14"/>
    <Relationship TargetMode="External" Target="https://www.legis.iowa.gov/docs/ico/chapter/422.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21.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22.pdf" Type="http://schemas.openxmlformats.org/officeDocument/2006/relationships/hyperlink" Id="rId19"/>
    <Relationship TargetMode="External" Target="https://www.legis.iowa.gov/docs/ico/chapter/622.pdf" Type="http://schemas.openxmlformats.org/officeDocument/2006/relationships/hyperlink" Id="rId20"/>
    <Relationship TargetMode="External" Target="https://www.legis.iowa.gov/docs/ico/chapter/622.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co/chapter/13B.pdf" Type="http://schemas.openxmlformats.org/officeDocument/2006/relationships/hyperlink" Id="rId23"/>
    <Relationship TargetMode="External" Target="https://www.legis.iowa.gov/docs/ico/chapter/13B.pdf" Type="http://schemas.openxmlformats.org/officeDocument/2006/relationships/hyperlink" Id="rId24"/>
    <Relationship TargetMode="External" Target="https://www.legis.iowa.gov/docs/ico/chapter/910A.pdf" Type="http://schemas.openxmlformats.org/officeDocument/2006/relationships/hyperlink" Id="rId25"/>
    <Relationship TargetMode="External" Target="https://www.legis.iowa.gov/docs/ico/chapter/232.pdf" Type="http://schemas.openxmlformats.org/officeDocument/2006/relationships/hyperlink" Id="rId26"/>
    <Relationship TargetMode="External" Target="https://www.legis.iowa.gov/docs/ico/chapter/901.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https://www.legis.iowa.gov/docs/iac/rule/493.4.14.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21.pdf" Type="http://schemas.openxmlformats.org/officeDocument/2006/relationships/hyperlink" Id="rId31"/>
    <Relationship TargetMode="External" Target="https://www.legis.iowa.gov/docs/ico/chapter/21.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22.pdf" Type="http://schemas.openxmlformats.org/officeDocument/2006/relationships/hyperlink" Id="rId34"/>
    <Relationship TargetMode="External" Target="https://www.legis.iowa.gov/docs/ico/chapter/22.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