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204</w:t>
      </w:r>
    </w:p>
    <w:p>
      <w:pPr>
        <w:spacing w:before="0" w:after="0"/>
        <w:ind w:left="120"/>
        <w:jc w:val="center"/>
      </w:pPr>
      <w:r>
        <w:rPr>
          <w:rFonts w:ascii="Times New Roman" w:hAnsi="Times New Roman"/>
          <w:b w:val="false"/>
          <w:i w:val="false"/>
          <w:color w:val="000000"/>
          <w:sz w:val="21"/>
        </w:rPr>
        <w:t>SUBSIDIZED GUARDIANSHIP PROGRAM</w:t>
      </w:r>
    </w:p>
    <w:p>
      <w:pPr>
        <w:spacing w:before="0" w:after="0"/>
        <w:ind w:left="120"/>
        <w:jc w:val="both"/>
      </w:pPr>
      <w:r>
        <w:rPr>
          <w:rFonts w:ascii="Times New Roman" w:hAnsi="Times New Roman"/>
          <w:b/>
          <w:i w:val="false"/>
          <w:color w:val="000000"/>
          <w:sz w:val="22"/>
        </w:rPr>
        <w:t>441—204.1</w:t>
      </w:r>
      <w:r>
        <w:rPr>
          <w:rFonts w:ascii="Times New Roman" w:hAnsi="Times New Roman"/>
          <w:b/>
          <w:i w:val="false"/>
          <w:color w:val="000000"/>
          <w:sz w:val="22"/>
        </w:rPr>
        <w:t xml:space="preserve">(234)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color w:val="000000"/>
          <w:sz w:val="22"/>
        </w:rPr>
        <w:t xml:space="preserve">“Child” </w:t>
      </w:r>
      <w:r>
        <w:rPr>
          <w:rFonts w:ascii="Times New Roman" w:hAnsi="Times New Roman"/>
          <w:b w:val="false"/>
          <w:i w:val="false"/>
          <w:color w:val="000000"/>
          <w:sz w:val="22"/>
        </w:rPr>
        <w:t>means either a person less than 18 years of age or a person 18, 19, or 20 years of age who meets one or more of the following conditions:</w:t>
      </w:r>
    </w:p>
    <w:p>
      <w:pPr>
        <w:numPr>
          <w:ilvl w:val="0"/>
          <w:numId w:val="3"/>
        </w:numPr>
        <w:spacing w:before="0" w:after="0"/>
        <w:jc w:val="both"/>
      </w:pPr>
      <w:r>
        <w:rPr>
          <w:rFonts w:ascii="Times New Roman" w:hAnsi="Times New Roman"/>
          <w:b w:val="false"/>
          <w:i w:val="false"/>
          <w:color w:val="000000"/>
          <w:sz w:val="22"/>
        </w:rPr>
        <w:t xml:space="preserve">Is in full-time attendance at an accredited school pursuing a course of study leading to a high school diploma. </w:t>
      </w:r>
    </w:p>
    <w:p>
      <w:pPr>
        <w:numPr>
          <w:ilvl w:val="0"/>
          <w:numId w:val="3"/>
        </w:numPr>
        <w:spacing w:before="0" w:after="0"/>
        <w:jc w:val="both"/>
      </w:pPr>
      <w:r>
        <w:rPr>
          <w:rFonts w:ascii="Times New Roman" w:hAnsi="Times New Roman"/>
          <w:b w:val="false"/>
          <w:i w:val="false"/>
          <w:color w:val="000000"/>
          <w:sz w:val="22"/>
        </w:rPr>
        <w:t xml:space="preserve">Is attending an instructional program leading to a high school equivalency diploma. </w:t>
      </w:r>
    </w:p>
    <w:p>
      <w:pPr>
        <w:numPr>
          <w:ilvl w:val="0"/>
          <w:numId w:val="3"/>
        </w:numPr>
        <w:spacing w:before="0" w:after="0"/>
        <w:jc w:val="both"/>
      </w:pPr>
      <w:r>
        <w:rPr>
          <w:rFonts w:ascii="Times New Roman" w:hAnsi="Times New Roman"/>
          <w:b w:val="false"/>
          <w:i w:val="false"/>
          <w:color w:val="000000"/>
          <w:sz w:val="22"/>
        </w:rPr>
        <w:t xml:space="preserve">Has been identified by the director of special education of the area education agency as a child requiring special education as defined in Iowa Code section </w:t>
      </w:r>
      <w:hyperlink r:id="rId4">
        <w:r>
          <w:rPr>
            <w:rStyle w:val="Hyperlink"/>
            <w:rFonts w:ascii="Times New Roman" w:hAnsi="Times New Roman"/>
            <w:b w:val="false"/>
            <w:i w:val="false"/>
            <w:color w:val="000000"/>
            <w:sz w:val="22"/>
          </w:rPr>
          <w:t>256B.2(1)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color w:val="000000"/>
          <w:sz w:val="22"/>
        </w:rPr>
        <w:t xml:space="preserve">“Guardianship subsidy” </w:t>
      </w:r>
      <w:r>
        <w:rPr>
          <w:rFonts w:ascii="Times New Roman" w:hAnsi="Times New Roman"/>
          <w:b w:val="false"/>
          <w:i w:val="false"/>
          <w:color w:val="000000"/>
          <w:sz w:val="22"/>
        </w:rPr>
        <w:t>means a monthly payment to assist in covering the cost of room, board, clothing, and spending money for the child.</w:t>
      </w:r>
    </w:p>
    <w:p>
      <w:pPr>
        <w:spacing w:before="0" w:after="0"/>
        <w:ind w:left="120"/>
        <w:jc w:val="both"/>
      </w:pPr>
      <w:r>
        <w:rPr>
          <w:rFonts w:ascii="Times New Roman" w:hAnsi="Times New Roman"/>
          <w:b w:val="false"/>
          <w:i/>
          <w:color w:val="000000"/>
          <w:sz w:val="22"/>
        </w:rPr>
        <w:t xml:space="preserve">“Nonrecurring expenses” </w:t>
      </w:r>
      <w:r>
        <w:rPr>
          <w:rFonts w:ascii="Times New Roman" w:hAnsi="Times New Roman"/>
          <w:b w:val="false"/>
          <w:i w:val="false"/>
          <w:color w:val="000000"/>
          <w:sz w:val="22"/>
        </w:rPr>
        <w:t>means reasonable and necessary guardianship fees, court costs, attorney fees, and other expenses that are directly related to finalizing the legal guardianship of a child. These expenses shall be limited to attorney fees, court filing fees and other court costs.</w:t>
      </w:r>
    </w:p>
    <w:p>
      <w:pPr>
        <w:spacing w:before="0" w:after="0"/>
        <w:ind w:left="120"/>
        <w:jc w:val="both"/>
      </w:pPr>
      <w:r>
        <w:rPr>
          <w:rFonts w:ascii="Times New Roman" w:hAnsi="Times New Roman"/>
          <w:b w:val="false"/>
          <w:i/>
          <w:color w:val="000000"/>
          <w:sz w:val="22"/>
        </w:rPr>
        <w:t xml:space="preserve">“Relative” </w:t>
      </w:r>
      <w:r>
        <w:rPr>
          <w:rFonts w:ascii="Times New Roman" w:hAnsi="Times New Roman"/>
          <w:b w:val="false"/>
          <w:i w:val="false"/>
          <w:color w:val="000000"/>
          <w:sz w:val="22"/>
        </w:rPr>
        <w:t>means a person to whom a child is related by blood, marriage, or adoption, or a person who has a significant, committed, positive relationship with the child.</w:t>
      </w:r>
    </w:p>
    <w:p>
      <w:pPr>
        <w:spacing w:before="0" w:after="0"/>
        <w:ind w:left="120"/>
        <w:jc w:val="both"/>
      </w:pPr>
      <w:r>
        <w:rPr>
          <w:rFonts w:ascii="Times New Roman" w:hAnsi="Times New Roman"/>
          <w:b w:val="false"/>
          <w:i/>
          <w:color w:val="000000"/>
          <w:sz w:val="22"/>
        </w:rPr>
        <w:t xml:space="preserve">“Sibling group” </w:t>
      </w:r>
      <w:r>
        <w:rPr>
          <w:rFonts w:ascii="Times New Roman" w:hAnsi="Times New Roman"/>
          <w:b w:val="false"/>
          <w:i w:val="false"/>
          <w:color w:val="000000"/>
          <w:sz w:val="22"/>
        </w:rPr>
        <w:t xml:space="preserve">means at least two children who are whole or half-siblings. A sibling group may include adopted children who have a common parent.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441—204.2</w:t>
      </w:r>
      <w:r>
        <w:rPr>
          <w:rFonts w:ascii="Times New Roman" w:hAnsi="Times New Roman"/>
          <w:b/>
          <w:i w:val="false"/>
          <w:color w:val="000000"/>
          <w:sz w:val="22"/>
        </w:rPr>
        <w:t xml:space="preserve">(234) </w:t>
      </w:r>
      <w:r>
        <w:rPr>
          <w:rFonts w:ascii="Times New Roman" w:hAnsi="Times New Roman"/>
          <w:b/>
          <w:i w:val="false"/>
          <w:color w:val="000000"/>
          <w:sz w:val="22"/>
        </w:rPr>
        <w:t xml:space="preserve">Eligibility. </w:t>
      </w:r>
    </w:p>
    <w:p>
      <w:pPr>
        <w:spacing w:before="0" w:after="0"/>
        <w:ind w:left="120"/>
        <w:jc w:val="both"/>
      </w:pPr>
      <w:r>
        <w:rPr>
          <w:rFonts w:ascii="Times New Roman" w:hAnsi="Times New Roman"/>
          <w:b/>
          <w:i w:val="false"/>
          <w:color w:val="000000"/>
          <w:sz w:val="22"/>
        </w:rPr>
        <w:t>204.2(1)</w:t>
      </w:r>
      <w:r>
        <w:rPr>
          <w:rFonts w:ascii="Times New Roman" w:hAnsi="Times New Roman"/>
          <w:b w:val="false"/>
          <w:i w:val="false"/>
          <w:color w:val="000000"/>
          <w:sz w:val="22"/>
        </w:rPr>
        <w:t> </w:t>
      </w:r>
      <w:r>
        <w:rPr>
          <w:rFonts w:ascii="Times New Roman" w:hAnsi="Times New Roman"/>
          <w:b w:val="false"/>
          <w:i/>
          <w:color w:val="000000"/>
          <w:sz w:val="22"/>
        </w:rPr>
        <w:t xml:space="preserve">General conditions of eligibility. </w:t>
      </w:r>
      <w:r>
        <w:rPr>
          <w:rFonts w:ascii="Times New Roman" w:hAnsi="Times New Roman"/>
          <w:b w:val="false"/>
          <w:i w:val="false"/>
          <w:color w:val="000000"/>
          <w:sz w:val="22"/>
        </w:rPr>
        <w:t xml:space="preserve">The guardian named in a permanency order under Iowa Code section </w:t>
      </w:r>
      <w:hyperlink r:id="rId5">
        <w:r>
          <w:rPr>
            <w:rStyle w:val="Hyperlink"/>
            <w:rFonts w:ascii="Times New Roman" w:hAnsi="Times New Roman"/>
            <w:b w:val="false"/>
            <w:i w:val="false"/>
            <w:color w:val="000000"/>
            <w:sz w:val="22"/>
          </w:rPr>
          <w:t>232.104(2)</w:t>
        </w:r>
      </w:hyperlink>
      <w:r>
        <w:rPr>
          <w:rFonts w:ascii="Times New Roman" w:hAnsi="Times New Roman"/>
          <w:b w:val="false"/>
          <w:i/>
          <w:color w:val="000000"/>
          <w:sz w:val="22"/>
        </w:rPr>
        <w:t>“d”</w:t>
      </w:r>
      <w:r>
        <w:rPr>
          <w:rFonts w:ascii="Times New Roman" w:hAnsi="Times New Roman"/>
          <w:b w:val="false"/>
          <w:i w:val="false"/>
          <w:color w:val="000000"/>
          <w:sz w:val="22"/>
        </w:rPr>
        <w:t xml:space="preserve">(1) or chapter </w:t>
      </w:r>
      <w:hyperlink r:id="rId6">
        <w:r>
          <w:rPr>
            <w:rStyle w:val="Hyperlink"/>
            <w:rFonts w:ascii="Times New Roman" w:hAnsi="Times New Roman"/>
            <w:b w:val="false"/>
            <w:i w:val="false"/>
            <w:color w:val="000000"/>
            <w:sz w:val="22"/>
          </w:rPr>
          <w:t>232D</w:t>
        </w:r>
      </w:hyperlink>
      <w:r>
        <w:rPr>
          <w:rFonts w:ascii="Times New Roman" w:hAnsi="Times New Roman"/>
          <w:b w:val="false"/>
          <w:i w:val="false"/>
          <w:color w:val="000000"/>
          <w:sz w:val="22"/>
        </w:rPr>
        <w:t xml:space="preserve"> for a child who was previously in the custody of the department is eligible for subsidy when all of the following conditions exist: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child has a documented permanency goal of:</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Guardianship; or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Another planned permanent living arrangement.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child is either:</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Ten years of age or older and consents to the guardianship; or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Part of a sibling group with a child aged ten or older.</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The child has lived in continuous foster family care with the prospective guardian for the six months before initiation of the guardianship subsidy.</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The prospective guardian is a licensed relative foster parent who has a significant relationship with the child and demonstrates a willingness to make a long-term commitment to the child’s care.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The guardian shall be a relative as defined in this chapter.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Placement with that guardian must be in the best interest of the child. The best-interest determination must be documented in the case file.</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A child who is part of a sibling group with a child ten years of age or older may be eligible for subsidy if all criteria are met. The following conditions for the younger sibling shall also be met:</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The sibling is placed as a foster child in the same prospective guardian home.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The guardian and the department agree it is appropriate for guardianship to be granted for the sibling.</w:t>
      </w:r>
    </w:p>
    <w:p>
      <w:pPr>
        <w:spacing w:before="0" w:after="0"/>
        <w:ind w:left="120"/>
        <w:jc w:val="both"/>
      </w:pPr>
      <w:r>
        <w:rPr>
          <w:rFonts w:ascii="Times New Roman" w:hAnsi="Times New Roman"/>
          <w:b/>
          <w:i w:val="false"/>
          <w:color w:val="000000"/>
          <w:sz w:val="22"/>
        </w:rPr>
        <w:t>204.2(2)</w:t>
      </w:r>
      <w:r>
        <w:rPr>
          <w:rFonts w:ascii="Times New Roman" w:hAnsi="Times New Roman"/>
          <w:b w:val="false"/>
          <w:i w:val="false"/>
          <w:color w:val="000000"/>
          <w:sz w:val="22"/>
        </w:rPr>
        <w:t> </w:t>
      </w:r>
      <w:r>
        <w:rPr>
          <w:rFonts w:ascii="Times New Roman" w:hAnsi="Times New Roman"/>
          <w:b w:val="false"/>
          <w:i/>
          <w:color w:val="000000"/>
          <w:sz w:val="22"/>
        </w:rPr>
        <w:t xml:space="preserve">Residency. </w:t>
      </w:r>
      <w:r>
        <w:rPr>
          <w:rFonts w:ascii="Times New Roman" w:hAnsi="Times New Roman"/>
          <w:b w:val="false"/>
          <w:i w:val="false"/>
          <w:color w:val="000000"/>
          <w:sz w:val="22"/>
        </w:rPr>
        <w:t>The subsidized guardianship applicant or recipient need not reside in Iowa.</w:t>
      </w:r>
    </w:p>
    <w:p>
      <w:pPr>
        <w:spacing w:before="0" w:after="0"/>
        <w:ind w:left="120"/>
        <w:jc w:val="both"/>
      </w:pPr>
      <w:r>
        <w:rPr>
          <w:rFonts w:ascii="Times New Roman" w:hAnsi="Times New Roman"/>
          <w:b/>
          <w:i w:val="false"/>
          <w:color w:val="000000"/>
          <w:sz w:val="22"/>
        </w:rPr>
        <w:t>204.2(3)</w:t>
      </w:r>
      <w:r>
        <w:rPr>
          <w:rFonts w:ascii="Times New Roman" w:hAnsi="Times New Roman"/>
          <w:b w:val="false"/>
          <w:i w:val="false"/>
          <w:color w:val="000000"/>
          <w:sz w:val="22"/>
        </w:rPr>
        <w:t> </w:t>
      </w:r>
      <w:r>
        <w:rPr>
          <w:rFonts w:ascii="Times New Roman" w:hAnsi="Times New Roman"/>
          <w:b w:val="false"/>
          <w:i/>
          <w:color w:val="000000"/>
          <w:sz w:val="22"/>
        </w:rPr>
        <w:t xml:space="preserve">Unearned income. </w:t>
      </w:r>
      <w:r>
        <w:rPr>
          <w:rFonts w:ascii="Times New Roman" w:hAnsi="Times New Roman"/>
          <w:b w:val="false"/>
          <w:i w:val="false"/>
          <w:color w:val="000000"/>
          <w:sz w:val="22"/>
        </w:rPr>
        <w:t>The family or the guardian shall provide to the department documentation from the source of the child’s unearned income.</w:t>
      </w:r>
    </w:p>
    <w:p>
      <w:pPr>
        <w:spacing w:before="0" w:after="0"/>
        <w:ind w:left="120"/>
        <w:jc w:val="both"/>
      </w:pPr>
      <w:r>
        <w:rPr>
          <w:rFonts w:ascii="Times New Roman" w:hAnsi="Times New Roman"/>
          <w:b/>
          <w:i w:val="false"/>
          <w:color w:val="000000"/>
          <w:sz w:val="22"/>
        </w:rPr>
        <w:t>204.2(4)</w:t>
      </w:r>
      <w:r>
        <w:rPr>
          <w:rFonts w:ascii="Times New Roman" w:hAnsi="Times New Roman"/>
          <w:b w:val="false"/>
          <w:i w:val="false"/>
          <w:color w:val="000000"/>
          <w:sz w:val="22"/>
        </w:rPr>
        <w:t> </w:t>
      </w:r>
      <w:r>
        <w:rPr>
          <w:rFonts w:ascii="Times New Roman" w:hAnsi="Times New Roman"/>
          <w:b w:val="false"/>
          <w:i/>
          <w:color w:val="000000"/>
          <w:sz w:val="22"/>
        </w:rPr>
        <w:t xml:space="preserve">Other services. </w:t>
      </w:r>
      <w:r>
        <w:rPr>
          <w:rFonts w:ascii="Times New Roman" w:hAnsi="Times New Roman"/>
          <w:b w:val="false"/>
          <w:i w:val="false"/>
          <w:color w:val="000000"/>
          <w:sz w:val="22"/>
        </w:rPr>
        <w:t>Other services available to meet the needs of the child that are free of charge, such as federal, state, and local governmental programs, or private assistance programs, shall be explored and used prior to the expenditure of subsidized guardianship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441—204.3</w:t>
      </w:r>
      <w:r>
        <w:rPr>
          <w:rFonts w:ascii="Times New Roman" w:hAnsi="Times New Roman"/>
          <w:b/>
          <w:i w:val="false"/>
          <w:color w:val="000000"/>
          <w:sz w:val="22"/>
        </w:rPr>
        <w:t xml:space="preserve">(234) </w:t>
      </w:r>
      <w:r>
        <w:rPr>
          <w:rFonts w:ascii="Times New Roman" w:hAnsi="Times New Roman"/>
          <w:b/>
          <w:i w:val="false"/>
          <w:color w:val="000000"/>
          <w:sz w:val="22"/>
        </w:rPr>
        <w:t xml:space="preserve">Application. </w:t>
      </w:r>
      <w:r>
        <w:rPr>
          <w:rFonts w:ascii="Times New Roman" w:hAnsi="Times New Roman"/>
          <w:b w:val="false"/>
          <w:i w:val="false"/>
          <w:color w:val="000000"/>
          <w:sz w:val="22"/>
        </w:rPr>
        <w:t>Applications for the subsidized guardianship program may be made at any county office of the department.</w:t>
      </w:r>
    </w:p>
    <w:p>
      <w:pPr>
        <w:spacing w:before="0" w:after="0"/>
        <w:ind w:left="120"/>
        <w:jc w:val="both"/>
      </w:pPr>
      <w:r>
        <w:rPr>
          <w:rFonts w:ascii="Times New Roman" w:hAnsi="Times New Roman"/>
          <w:b/>
          <w:i w:val="false"/>
          <w:color w:val="000000"/>
          <w:sz w:val="22"/>
        </w:rPr>
        <w:t>204.3(1)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forms. </w:t>
      </w:r>
      <w:r>
        <w:rPr>
          <w:rFonts w:ascii="Times New Roman" w:hAnsi="Times New Roman"/>
          <w:b w:val="false"/>
          <w:i w:val="false"/>
          <w:color w:val="000000"/>
          <w:sz w:val="22"/>
        </w:rPr>
        <w:t>Application for a subsidized guardianship shall be made on the approved department form.</w:t>
      </w:r>
    </w:p>
    <w:p>
      <w:pPr>
        <w:spacing w:before="0" w:after="0"/>
        <w:ind w:left="120"/>
        <w:jc w:val="both"/>
      </w:pPr>
      <w:r>
        <w:rPr>
          <w:rFonts w:ascii="Times New Roman" w:hAnsi="Times New Roman"/>
          <w:b/>
          <w:i w:val="false"/>
          <w:color w:val="000000"/>
          <w:sz w:val="22"/>
        </w:rPr>
        <w:t>204.3(2)</w:t>
      </w:r>
      <w:r>
        <w:rPr>
          <w:rFonts w:ascii="Times New Roman" w:hAnsi="Times New Roman"/>
          <w:b w:val="false"/>
          <w:i w:val="false"/>
          <w:color w:val="000000"/>
          <w:sz w:val="22"/>
        </w:rPr>
        <w:t> </w:t>
      </w:r>
      <w:r>
        <w:rPr>
          <w:rFonts w:ascii="Times New Roman" w:hAnsi="Times New Roman"/>
          <w:b w:val="false"/>
          <w:i/>
          <w:color w:val="000000"/>
          <w:sz w:val="22"/>
        </w:rPr>
        <w:t xml:space="preserve">Eligibility determination. </w:t>
      </w:r>
      <w:r>
        <w:rPr>
          <w:rFonts w:ascii="Times New Roman" w:hAnsi="Times New Roman"/>
          <w:b w:val="false"/>
          <w:i w:val="false"/>
          <w:color w:val="000000"/>
          <w:sz w:val="22"/>
        </w:rPr>
        <w:t>The determination of whether a child meets the eligibility requirements is made by the department. The proposed guardian shall be notified in writing of the decision of the department regarding the child’s eligibility for the program and the amount of subsidy to be provided.</w:t>
      </w:r>
    </w:p>
    <w:p>
      <w:pPr>
        <w:spacing w:before="0" w:after="0"/>
        <w:ind w:left="120"/>
        <w:jc w:val="both"/>
      </w:pPr>
      <w:r>
        <w:rPr>
          <w:rFonts w:ascii="Times New Roman" w:hAnsi="Times New Roman"/>
          <w:b/>
          <w:i w:val="false"/>
          <w:color w:val="000000"/>
          <w:sz w:val="22"/>
        </w:rPr>
        <w:t>204.3(3)</w:t>
      </w:r>
      <w:r>
        <w:rPr>
          <w:rFonts w:ascii="Times New Roman" w:hAnsi="Times New Roman"/>
          <w:b w:val="false"/>
          <w:i w:val="false"/>
          <w:color w:val="000000"/>
          <w:sz w:val="22"/>
        </w:rPr>
        <w:t> </w:t>
      </w:r>
      <w:r>
        <w:rPr>
          <w:rFonts w:ascii="Times New Roman" w:hAnsi="Times New Roman"/>
          <w:b w:val="false"/>
          <w:i/>
          <w:color w:val="000000"/>
          <w:sz w:val="22"/>
        </w:rPr>
        <w:t xml:space="preserve">Effective date. </w:t>
      </w:r>
      <w:r>
        <w:rPr>
          <w:rFonts w:ascii="Times New Roman" w:hAnsi="Times New Roman"/>
          <w:b w:val="false"/>
          <w:i w:val="false"/>
          <w:color w:val="000000"/>
          <w:sz w:val="22"/>
        </w:rPr>
        <w:t>The effective date of the guardianship subsidy payment shall be the date the guardianship order is signed if all other conditions of eligibility are met.</w:t>
      </w:r>
    </w:p>
    <w:p>
      <w:pPr>
        <w:spacing w:before="0" w:after="0"/>
        <w:ind w:left="120"/>
        <w:jc w:val="both"/>
      </w:pPr>
      <w:r>
        <w:rPr>
          <w:rFonts w:ascii="Times New Roman" w:hAnsi="Times New Roman"/>
          <w:b/>
          <w:i w:val="false"/>
          <w:color w:val="000000"/>
          <w:sz w:val="22"/>
        </w:rPr>
        <w:t>204.3(4)</w:t>
      </w:r>
      <w:r>
        <w:rPr>
          <w:rFonts w:ascii="Times New Roman" w:hAnsi="Times New Roman"/>
          <w:b w:val="false"/>
          <w:i w:val="false"/>
          <w:color w:val="000000"/>
          <w:sz w:val="22"/>
        </w:rPr>
        <w:t> </w:t>
      </w:r>
      <w:r>
        <w:rPr>
          <w:rFonts w:ascii="Times New Roman" w:hAnsi="Times New Roman"/>
          <w:b w:val="false"/>
          <w:i/>
          <w:color w:val="000000"/>
          <w:sz w:val="22"/>
        </w:rPr>
        <w:t xml:space="preserve">Redetermination. </w:t>
      </w:r>
      <w:r>
        <w:rPr>
          <w:rFonts w:ascii="Times New Roman" w:hAnsi="Times New Roman"/>
          <w:b w:val="false"/>
          <w:i w:val="false"/>
          <w:color w:val="000000"/>
          <w:sz w:val="22"/>
        </w:rPr>
        <w:t>The department shall review the child’s eligibility, the needs of the child and the child’s unearned income every 12 months. Reviews may be done more often if needed due to the child’s need for special services, revision of the subsidy amount because of the child’s age, or a request for review by the guardian.</w:t>
      </w:r>
    </w:p>
    <w:p>
      <w:pPr>
        <w:spacing w:before="0" w:after="0"/>
        <w:ind w:left="120"/>
        <w:jc w:val="both"/>
      </w:pPr>
      <w:r>
        <w:rPr>
          <w:rFonts w:ascii="Times New Roman" w:hAnsi="Times New Roman"/>
          <w:b/>
          <w:i w:val="false"/>
          <w:color w:val="000000"/>
          <w:sz w:val="22"/>
        </w:rPr>
        <w:t>204.3(5)</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eligibility after age 18. </w:t>
      </w:r>
      <w:r>
        <w:rPr>
          <w:rFonts w:ascii="Times New Roman" w:hAnsi="Times New Roman"/>
          <w:b w:val="false"/>
          <w:i w:val="false"/>
          <w:color w:val="000000"/>
          <w:sz w:val="22"/>
        </w:rPr>
        <w:t>The department shall review the subsidy agreement when the child reaches the age of 17½ to determine whether the child is eligible to receive a subsidy to the age of 21 to complete high school or equivalency or due to the child’s physical, intellectual, or mental health disability.</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 disability shall be diagnosed by a physician, a qualified mental health professional or a qualified intellectual disability professional.</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diagnosed disability shall be current within one year prior to the child’s eighteenth birthday.</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Documentation of the child’s diagnosed disability shall be provided by the child’s guardian to the department.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Upon the child’s reaching the age of 18, the subsidy may continue until the child completes courses leading to a high school diploma or equivalency or reaches the age of 21. Documentation of school enrollment and completion shall be provided by the child’s guardian.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441—204.4</w:t>
      </w:r>
      <w:r>
        <w:rPr>
          <w:rFonts w:ascii="Times New Roman" w:hAnsi="Times New Roman"/>
          <w:b/>
          <w:i w:val="false"/>
          <w:color w:val="000000"/>
          <w:sz w:val="22"/>
        </w:rPr>
        <w:t xml:space="preserve">(234) </w:t>
      </w:r>
      <w:r>
        <w:rPr>
          <w:rFonts w:ascii="Times New Roman" w:hAnsi="Times New Roman"/>
          <w:b/>
          <w:i w:val="false"/>
          <w:color w:val="000000"/>
          <w:sz w:val="22"/>
        </w:rPr>
        <w:t xml:space="preserve">Negotiation of amount of subsidy. </w:t>
      </w:r>
    </w:p>
    <w:p>
      <w:pPr>
        <w:spacing w:before="0" w:after="0"/>
        <w:ind w:left="120"/>
        <w:jc w:val="both"/>
      </w:pPr>
      <w:r>
        <w:rPr>
          <w:rFonts w:ascii="Times New Roman" w:hAnsi="Times New Roman"/>
          <w:b/>
          <w:i w:val="false"/>
          <w:color w:val="000000"/>
          <w:sz w:val="22"/>
        </w:rPr>
        <w:t>204.4(1)</w:t>
      </w:r>
      <w:r>
        <w:rPr>
          <w:rFonts w:ascii="Times New Roman" w:hAnsi="Times New Roman"/>
          <w:b w:val="false"/>
          <w:i w:val="false"/>
          <w:color w:val="000000"/>
          <w:sz w:val="22"/>
        </w:rPr>
        <w:t> </w:t>
      </w:r>
      <w:r>
        <w:rPr>
          <w:rFonts w:ascii="Times New Roman" w:hAnsi="Times New Roman"/>
          <w:b w:val="false"/>
          <w:i/>
          <w:color w:val="000000"/>
          <w:sz w:val="22"/>
        </w:rPr>
        <w:t xml:space="preserve">Subsidy agreement. </w:t>
      </w:r>
      <w:r>
        <w:rPr>
          <w:rFonts w:ascii="Times New Roman" w:hAnsi="Times New Roman"/>
          <w:b w:val="false"/>
          <w:i w:val="false"/>
          <w:color w:val="000000"/>
          <w:sz w:val="22"/>
        </w:rPr>
        <w:t xml:space="preserve">The amount of subsidy shall be negotiated between the department and the guardian and shall be based upon the needs of the child and the circumstances of the family. </w:t>
      </w:r>
    </w:p>
    <w:p>
      <w:pPr>
        <w:spacing w:before="0" w:after="0"/>
        <w:ind w:left="120"/>
        <w:jc w:val="both"/>
      </w:pPr>
      <w:r>
        <w:rPr>
          <w:rFonts w:ascii="Times New Roman" w:hAnsi="Times New Roman"/>
          <w:b/>
          <w:i w:val="false"/>
          <w:color w:val="000000"/>
          <w:sz w:val="22"/>
        </w:rPr>
        <w:t>204.4(2)</w:t>
      </w:r>
      <w:r>
        <w:rPr>
          <w:rFonts w:ascii="Times New Roman" w:hAnsi="Times New Roman"/>
          <w:b w:val="false"/>
          <w:i w:val="false"/>
          <w:color w:val="000000"/>
          <w:sz w:val="22"/>
        </w:rPr>
        <w:t> </w:t>
      </w:r>
      <w:r>
        <w:rPr>
          <w:rFonts w:ascii="Times New Roman" w:hAnsi="Times New Roman"/>
          <w:b w:val="false"/>
          <w:i/>
          <w:color w:val="000000"/>
          <w:sz w:val="22"/>
        </w:rPr>
        <w:t xml:space="preserve">Amount of subsidy. </w:t>
      </w:r>
      <w:r>
        <w:rPr>
          <w:rFonts w:ascii="Times New Roman" w:hAnsi="Times New Roman"/>
          <w:b w:val="false"/>
          <w:i w:val="false"/>
          <w:color w:val="000000"/>
          <w:sz w:val="22"/>
        </w:rPr>
        <w:t>Each time negotiations are completed, the department and the guardian shall complete and sign a new Guardianship Subsidy Agreement.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The maximum monthly maintenance payment for a child in subsidized guardianship shall be made pursuant to the foster family care maintenance rates according to the age and special needs of the child as found in </w:t>
      </w:r>
      <w:hyperlink r:id="rId7">
        <w:r>
          <w:rPr>
            <w:rStyle w:val="Hyperlink"/>
            <w:rFonts w:ascii="Times New Roman" w:hAnsi="Times New Roman"/>
            <w:b w:val="false"/>
            <w:i w:val="false"/>
            <w:color w:val="000000"/>
            <w:sz w:val="22"/>
          </w:rPr>
          <w:t>441—subrule 156.6(4)</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The rate for the guardianship subsidy shall not exceed the state’s current daily basic foster care rate plus any daily special needs allowance or sibling allowance for which the child is eligible, as found in </w:t>
      </w:r>
      <w:hyperlink r:id="rId8">
        <w:r>
          <w:rPr>
            <w:rStyle w:val="Hyperlink"/>
            <w:rFonts w:ascii="Times New Roman" w:hAnsi="Times New Roman"/>
            <w:b w:val="false"/>
            <w:i w:val="false"/>
            <w:color w:val="000000"/>
            <w:sz w:val="22"/>
          </w:rPr>
          <w:t>441—subrule 156.6(4)</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Reserved.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If the subsidized guardianship payment is less than the maximum amount allowed, the guardian may request an increase if there is a substantial change in the child’s needs and circumstances that requires additional resources.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Guardianship payments shall continue if the guardian dies or becomes incapacitated and has named a successor guardian in the Guardianship Subsidy Agreement or in any amendments to the agreement.</w:t>
      </w:r>
    </w:p>
    <w:p>
      <w:pPr>
        <w:spacing w:before="0" w:after="0"/>
        <w:ind w:left="120"/>
        <w:jc w:val="both"/>
      </w:pPr>
      <w:r>
        <w:rPr>
          <w:rFonts w:ascii="Times New Roman" w:hAnsi="Times New Roman"/>
          <w:b/>
          <w:i w:val="false"/>
          <w:color w:val="000000"/>
          <w:sz w:val="22"/>
        </w:rPr>
        <w:t>204.4(3)</w:t>
      </w:r>
      <w:r>
        <w:rPr>
          <w:rFonts w:ascii="Times New Roman" w:hAnsi="Times New Roman"/>
          <w:b w:val="false"/>
          <w:i w:val="false"/>
          <w:color w:val="000000"/>
          <w:sz w:val="22"/>
        </w:rPr>
        <w:t> </w:t>
      </w:r>
      <w:r>
        <w:rPr>
          <w:rFonts w:ascii="Times New Roman" w:hAnsi="Times New Roman"/>
          <w:b w:val="false"/>
          <w:i/>
          <w:color w:val="000000"/>
          <w:sz w:val="22"/>
        </w:rPr>
        <w:t xml:space="preserve">Placement outside of home. </w:t>
      </w:r>
      <w:r>
        <w:rPr>
          <w:rFonts w:ascii="Times New Roman" w:hAnsi="Times New Roman"/>
          <w:b w:val="false"/>
          <w:i w:val="false"/>
          <w:color w:val="000000"/>
          <w:sz w:val="22"/>
        </w:rPr>
        <w:t>If a child needs to be placed out of the guardian’s home and the plan is for the child to return to the guardian within six months, a partial subsidy amount may be negotiated.</w:t>
      </w:r>
    </w:p>
    <w:p>
      <w:pPr>
        <w:spacing w:before="0" w:after="0"/>
        <w:ind w:left="120"/>
        <w:jc w:val="both"/>
      </w:pPr>
      <w:r>
        <w:rPr>
          <w:rFonts w:ascii="Times New Roman" w:hAnsi="Times New Roman"/>
          <w:b/>
          <w:i w:val="false"/>
          <w:color w:val="000000"/>
          <w:sz w:val="22"/>
        </w:rPr>
        <w:t>204.4(4)</w:t>
      </w:r>
      <w:r>
        <w:rPr>
          <w:rFonts w:ascii="Times New Roman" w:hAnsi="Times New Roman"/>
          <w:b w:val="false"/>
          <w:i w:val="false"/>
          <w:color w:val="000000"/>
          <w:sz w:val="22"/>
        </w:rPr>
        <w:t> </w:t>
      </w:r>
      <w:r>
        <w:rPr>
          <w:rFonts w:ascii="Times New Roman" w:hAnsi="Times New Roman"/>
          <w:b w:val="false"/>
          <w:i/>
          <w:color w:val="000000"/>
          <w:sz w:val="22"/>
        </w:rPr>
        <w:t xml:space="preserve">Nonrecurring expenses. </w:t>
      </w:r>
      <w:r>
        <w:rPr>
          <w:rFonts w:ascii="Times New Roman" w:hAnsi="Times New Roman"/>
          <w:b w:val="false"/>
          <w:i w:val="false"/>
          <w:color w:val="000000"/>
          <w:sz w:val="22"/>
        </w:rPr>
        <w:t>The nonrecurring expenses necessary to finalize a guardianship shall not exceed $2,000.</w:t>
      </w:r>
    </w:p>
    <w:p>
      <w:pPr>
        <w:spacing w:before="0" w:after="0"/>
        <w:ind w:left="120"/>
        <w:jc w:val="both"/>
      </w:pPr>
      <w:r>
        <w:rPr>
          <w:rFonts w:ascii="Times New Roman" w:hAnsi="Times New Roman"/>
          <w:b/>
          <w:i w:val="false"/>
          <w:color w:val="000000"/>
          <w:sz w:val="22"/>
        </w:rPr>
        <w:t>204.4(5)</w:t>
      </w:r>
      <w:r>
        <w:rPr>
          <w:rFonts w:ascii="Times New Roman" w:hAnsi="Times New Roman"/>
          <w:b w:val="false"/>
          <w:i w:val="false"/>
          <w:color w:val="000000"/>
          <w:sz w:val="22"/>
        </w:rPr>
        <w:t> </w:t>
      </w:r>
      <w:r>
        <w:rPr>
          <w:rFonts w:ascii="Times New Roman" w:hAnsi="Times New Roman"/>
          <w:b w:val="false"/>
          <w:i/>
          <w:color w:val="000000"/>
          <w:sz w:val="22"/>
        </w:rPr>
        <w:t xml:space="preserve">Special services.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Reimbursement to the guardian family or direct payment made to a provider is limited to the following services: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Outpatient individual or family services provided from a non-Medicaid provider only with approval from the department and when one of the following applies: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The services are not available from a Medicaid provider within a reasonable distance from the family.</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The child and the family were receiving therapy or counseling from a non-Medicaid provider and it would not be in the child’s best interest to disrupt the services.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Available Medicaid providers lack experience in working with foster, adopted, or blended families.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Travel-related expenses including transportation, meals and lodging not covered by Medicaid for visitation or family therapy when the child is receiving Medicaid-paid services out of the home. </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Supplies and equipment as required by the child’s special needs and unavailable through other resources.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Funeral benefits at the amount allowed for a foster child in accordance with rule </w:t>
      </w:r>
      <w:hyperlink r:id="rId9">
        <w:r>
          <w:rPr>
            <w:rStyle w:val="Hyperlink"/>
            <w:rFonts w:ascii="Times New Roman" w:hAnsi="Times New Roman"/>
            <w:b w:val="false"/>
            <w:i w:val="false"/>
            <w:color w:val="000000"/>
            <w:sz w:val="22"/>
          </w:rPr>
          <w:t>441—156.8</w:t>
        </w:r>
      </w:hyperlink>
      <w:r>
        <w:rPr>
          <w:rFonts w:ascii="Times New Roman" w:hAnsi="Times New Roman"/>
          <w:b w:val="false"/>
          <w:i w:val="false"/>
          <w:color w:val="000000"/>
          <w:sz w:val="22"/>
        </w:rPr>
        <w:t>(234).</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Any single special service and any special service delivered over a 12-month period costing $500 or more shall have prior approval from the department prior to expending program funds.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For all Medicaid-covered services, the department shall reimburse at the same rate and duration as Medicaid as set forth in rule </w:t>
      </w:r>
      <w:hyperlink r:id="rId10">
        <w:r>
          <w:rPr>
            <w:rStyle w:val="Hyperlink"/>
            <w:rFonts w:ascii="Times New Roman" w:hAnsi="Times New Roman"/>
            <w:b w:val="false"/>
            <w:i w:val="false"/>
            <w:color w:val="000000"/>
            <w:sz w:val="22"/>
          </w:rPr>
          <w:t>441—79.1</w:t>
        </w:r>
      </w:hyperlink>
      <w:r>
        <w:rPr>
          <w:rFonts w:ascii="Times New Roman" w:hAnsi="Times New Roman"/>
          <w:b w:val="false"/>
          <w:i w:val="false"/>
          <w:color w:val="000000"/>
          <w:sz w:val="22"/>
        </w:rPr>
        <w:t>(249A).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441—204.5</w:t>
      </w:r>
      <w:r>
        <w:rPr>
          <w:rFonts w:ascii="Times New Roman" w:hAnsi="Times New Roman"/>
          <w:b/>
          <w:i w:val="false"/>
          <w:color w:val="000000"/>
          <w:sz w:val="22"/>
        </w:rPr>
        <w:t xml:space="preserve">(234) </w:t>
      </w:r>
      <w:r>
        <w:rPr>
          <w:rFonts w:ascii="Times New Roman" w:hAnsi="Times New Roman"/>
          <w:b/>
          <w:i w:val="false"/>
          <w:color w:val="000000"/>
          <w:sz w:val="22"/>
        </w:rPr>
        <w:t xml:space="preserve">Parental liability. </w:t>
      </w:r>
      <w:r>
        <w:rPr>
          <w:rFonts w:ascii="Times New Roman" w:hAnsi="Times New Roman"/>
          <w:b w:val="false"/>
          <w:i w:val="false"/>
          <w:color w:val="000000"/>
          <w:sz w:val="22"/>
        </w:rPr>
        <w:t>These subsidy payments are considered foster care payments for purposes of child support recovery and as such create a support debt for the legally responsible parent or parents.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441—204.6</w:t>
      </w:r>
      <w:r>
        <w:rPr>
          <w:rFonts w:ascii="Times New Roman" w:hAnsi="Times New Roman"/>
          <w:b/>
          <w:i w:val="false"/>
          <w:color w:val="000000"/>
          <w:sz w:val="22"/>
        </w:rPr>
        <w:t xml:space="preserve">(234) </w:t>
      </w:r>
      <w:r>
        <w:rPr>
          <w:rFonts w:ascii="Times New Roman" w:hAnsi="Times New Roman"/>
          <w:b/>
          <w:i w:val="false"/>
          <w:color w:val="000000"/>
          <w:sz w:val="22"/>
        </w:rPr>
        <w:t xml:space="preserve">Determination of ongoing subsidy eligibility and suspension of subsidy payments. </w:t>
      </w:r>
    </w:p>
    <w:p>
      <w:pPr>
        <w:spacing w:before="0" w:after="0"/>
        <w:ind w:left="120"/>
        <w:jc w:val="both"/>
      </w:pPr>
      <w:r>
        <w:rPr>
          <w:rFonts w:ascii="Times New Roman" w:hAnsi="Times New Roman"/>
          <w:b/>
          <w:i w:val="false"/>
          <w:color w:val="000000"/>
          <w:sz w:val="22"/>
        </w:rPr>
        <w:t>204.6(1)</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for continuation of guardianship subsidy shall be evaluated when the department has good cause to suspect the guardian is not providing financial support or is no longer legally responsible for the child. Good cause includes, but is not limited to, the following circumstances: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The child is placed in out-of-home care under Iowa Code chapter </w:t>
      </w:r>
      <w:hyperlink r:id="rId11">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A person alleges the guardian is not providing financial support to the child. </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A person other than the guardian is awarded legal custody of the child. </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A person other than the guardian is appointed as the guardian of the child. </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The child has applied for food assistance or other benefits. </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The child has not resided with the guardian for the past 30 consecutive days. </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The guardian is incarcerated. </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The guardian is awaiting trial for criminal charges related to harm caused to a child in the home.</w:t>
      </w:r>
    </w:p>
    <w:p>
      <w:pPr>
        <w:spacing w:before="0" w:after="0"/>
        <w:ind w:left="120"/>
        <w:jc w:val="both"/>
      </w:pPr>
      <w:r>
        <w:rPr>
          <w:rFonts w:ascii="Times New Roman" w:hAnsi="Times New Roman"/>
          <w:b/>
          <w:i w:val="false"/>
          <w:color w:val="000000"/>
          <w:sz w:val="22"/>
        </w:rPr>
        <w:t>204.6(2)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contact the child’s guardian via letter, telephone, or electronic or other means and document such efforts if an evaluation is determined to be necessary. </w:t>
      </w:r>
    </w:p>
    <w:p>
      <w:pPr>
        <w:spacing w:before="0" w:after="0"/>
        <w:ind w:left="120"/>
        <w:jc w:val="both"/>
      </w:pPr>
      <w:r>
        <w:rPr>
          <w:rFonts w:ascii="Times New Roman" w:hAnsi="Times New Roman"/>
          <w:b/>
          <w:i w:val="false"/>
          <w:color w:val="000000"/>
          <w:sz w:val="22"/>
        </w:rPr>
        <w:t>204.6(3)</w:t>
      </w:r>
      <w:r>
        <w:rPr>
          <w:rFonts w:ascii="Times New Roman" w:hAnsi="Times New Roman"/>
          <w:b w:val="false"/>
          <w:i w:val="false"/>
          <w:color w:val="000000"/>
          <w:sz w:val="22"/>
        </w:rPr>
        <w:t> </w:t>
      </w:r>
      <w:r>
        <w:rPr>
          <w:rFonts w:ascii="Times New Roman" w:hAnsi="Times New Roman"/>
          <w:b w:val="false"/>
          <w:i w:val="false"/>
          <w:color w:val="000000"/>
          <w:sz w:val="22"/>
        </w:rPr>
        <w:t xml:space="preserve">If such an evaluation occurs, the child’s guardian shall provide documentation of support, including receipts, to the department upon request. </w:t>
      </w:r>
    </w:p>
    <w:p>
      <w:pPr>
        <w:spacing w:before="0" w:after="0"/>
        <w:ind w:left="120"/>
        <w:jc w:val="both"/>
      </w:pPr>
      <w:r>
        <w:rPr>
          <w:rFonts w:ascii="Times New Roman" w:hAnsi="Times New Roman"/>
          <w:b/>
          <w:i w:val="false"/>
          <w:color w:val="000000"/>
          <w:sz w:val="22"/>
        </w:rPr>
        <w:t>204.6(4)</w:t>
      </w:r>
      <w:r>
        <w:rPr>
          <w:rFonts w:ascii="Times New Roman" w:hAnsi="Times New Roman"/>
          <w:b w:val="false"/>
          <w:i w:val="false"/>
          <w:color w:val="000000"/>
          <w:sz w:val="22"/>
        </w:rPr>
        <w:t> </w:t>
      </w:r>
      <w:r>
        <w:rPr>
          <w:rFonts w:ascii="Times New Roman" w:hAnsi="Times New Roman"/>
          <w:b w:val="false"/>
          <w:i w:val="false"/>
          <w:color w:val="000000"/>
          <w:sz w:val="22"/>
        </w:rPr>
        <w:t xml:space="preserve">Upon completion of the department’s evaluation of the child’s continued eligibility for guardianship subsidy, the department will issue a written notice to the guardian documenting required ongoing actions by the guardian, including an expectation of continued cooperation by the guardian to provide documentation of ongoing support to the child at the request of the department. </w:t>
      </w:r>
    </w:p>
    <w:p>
      <w:pPr>
        <w:spacing w:before="0" w:after="0"/>
        <w:ind w:left="120"/>
        <w:jc w:val="both"/>
      </w:pPr>
      <w:r>
        <w:rPr>
          <w:rFonts w:ascii="Times New Roman" w:hAnsi="Times New Roman"/>
          <w:b/>
          <w:i w:val="false"/>
          <w:color w:val="000000"/>
          <w:sz w:val="22"/>
        </w:rPr>
        <w:t>204.6(5)</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suspend guardianship subsidy payments if the guardian refuses to cooperate with any department evaluation designed to determine legal responsibility for the child or to determine whether the guardian is providing financial support for the child. </w:t>
      </w:r>
    </w:p>
    <w:p>
      <w:pPr>
        <w:spacing w:before="0" w:after="0"/>
        <w:ind w:left="120"/>
        <w:jc w:val="both"/>
      </w:pPr>
      <w:r>
        <w:rPr>
          <w:rFonts w:ascii="Times New Roman" w:hAnsi="Times New Roman"/>
          <w:b/>
          <w:i w:val="false"/>
          <w:color w:val="000000"/>
          <w:sz w:val="22"/>
        </w:rPr>
        <w:t>204.6(6)</w:t>
      </w:r>
      <w:r>
        <w:rPr>
          <w:rFonts w:ascii="Times New Roman" w:hAnsi="Times New Roman"/>
          <w:b w:val="false"/>
          <w:i w:val="false"/>
          <w:color w:val="000000"/>
          <w:sz w:val="22"/>
        </w:rPr>
        <w:t> </w:t>
      </w:r>
      <w:r>
        <w:rPr>
          <w:rFonts w:ascii="Times New Roman" w:hAnsi="Times New Roman"/>
          <w:b w:val="false"/>
          <w:i w:val="false"/>
          <w:color w:val="000000"/>
          <w:sz w:val="22"/>
        </w:rPr>
        <w:t>Through a Notice of Decision, the department will notify the guardian that the guardianship subsidy payment will be suspended, modified, or terminated.</w:t>
      </w:r>
    </w:p>
    <w:p>
      <w:pPr>
        <w:spacing w:before="0" w:after="0"/>
        <w:ind w:left="120"/>
        <w:jc w:val="both"/>
      </w:pPr>
      <w:r>
        <w:rPr>
          <w:rFonts w:ascii="Times New Roman" w:hAnsi="Times New Roman"/>
          <w:b/>
          <w:i w:val="false"/>
          <w:color w:val="000000"/>
          <w:sz w:val="22"/>
        </w:rPr>
        <w:t>204.6(7)</w:t>
      </w:r>
      <w:r>
        <w:rPr>
          <w:rFonts w:ascii="Times New Roman" w:hAnsi="Times New Roman"/>
          <w:b w:val="false"/>
          <w:i w:val="false"/>
          <w:color w:val="000000"/>
          <w:sz w:val="22"/>
        </w:rPr>
        <w:t> </w:t>
      </w:r>
      <w:r>
        <w:rPr>
          <w:rFonts w:ascii="Times New Roman" w:hAnsi="Times New Roman"/>
          <w:b w:val="false"/>
          <w:i w:val="false"/>
          <w:color w:val="000000"/>
          <w:sz w:val="22"/>
        </w:rPr>
        <w:t>When the child has resided out of the guardian’s home for 30 consecutive days, the department shall request a renegotiation of the Guardianship Subsidy Agreement with the guardian to reduce or suspend payments as agreed to by the guardian.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441—204.7</w:t>
      </w:r>
      <w:r>
        <w:rPr>
          <w:rFonts w:ascii="Times New Roman" w:hAnsi="Times New Roman"/>
          <w:b/>
          <w:i w:val="false"/>
          <w:color w:val="000000"/>
          <w:sz w:val="22"/>
        </w:rPr>
        <w:t xml:space="preserve">(234) </w:t>
      </w:r>
      <w:r>
        <w:rPr>
          <w:rFonts w:ascii="Times New Roman" w:hAnsi="Times New Roman"/>
          <w:b/>
          <w:i w:val="false"/>
          <w:color w:val="000000"/>
          <w:sz w:val="22"/>
        </w:rPr>
        <w:t xml:space="preserve">Termination of subsidy. </w:t>
      </w:r>
      <w:r>
        <w:rPr>
          <w:rFonts w:ascii="Times New Roman" w:hAnsi="Times New Roman"/>
          <w:b w:val="false"/>
          <w:i w:val="false"/>
          <w:color w:val="000000"/>
          <w:sz w:val="22"/>
        </w:rPr>
        <w:t>A Guardianship Subsidy Agreement remains in effect until the subsidy is terminated. The subsidy shall terminate when any of the following occur, and a notice shall be sent that states the reason for the termination:</w:t>
      </w:r>
    </w:p>
    <w:p>
      <w:pPr>
        <w:numPr>
          <w:ilvl w:val="0"/>
          <w:numId w:val="4"/>
        </w:numPr>
        <w:spacing w:before="0" w:after="0"/>
        <w:jc w:val="both"/>
      </w:pPr>
      <w:r>
        <w:rPr>
          <w:rFonts w:ascii="Times New Roman" w:hAnsi="Times New Roman"/>
          <w:b w:val="false"/>
          <w:i w:val="false"/>
          <w:color w:val="000000"/>
          <w:sz w:val="22"/>
        </w:rPr>
        <w:t xml:space="preserve">The child reaches the age of 18, unless the department determines that the subsidy may continue until the child reaches the age of 21 as specified by subrule </w:t>
      </w:r>
      <w:hyperlink r:id="rId12">
        <w:r>
          <w:rPr>
            <w:rStyle w:val="Hyperlink"/>
            <w:rFonts w:ascii="Times New Roman" w:hAnsi="Times New Roman"/>
            <w:b w:val="false"/>
            <w:i w:val="false"/>
            <w:color w:val="000000"/>
            <w:sz w:val="22"/>
          </w:rPr>
          <w:t>204.3(5)</w:t>
        </w:r>
      </w:hyperlink>
      <w:r>
        <w:rPr>
          <w:rFonts w:ascii="Times New Roman" w:hAnsi="Times New Roman"/>
          <w:b w:val="false"/>
          <w:i w:val="false"/>
          <w:color w:val="000000"/>
          <w:sz w:val="22"/>
        </w:rPr>
        <w:t>.</w:t>
      </w:r>
    </w:p>
    <w:p>
      <w:pPr>
        <w:numPr>
          <w:ilvl w:val="0"/>
          <w:numId w:val="4"/>
        </w:numPr>
        <w:spacing w:before="0" w:after="0"/>
        <w:jc w:val="both"/>
      </w:pPr>
      <w:r>
        <w:rPr>
          <w:rFonts w:ascii="Times New Roman" w:hAnsi="Times New Roman"/>
          <w:b w:val="false"/>
          <w:i w:val="false"/>
          <w:color w:val="000000"/>
          <w:sz w:val="22"/>
        </w:rPr>
        <w:t>The child marries or enlists in the military.</w:t>
      </w:r>
    </w:p>
    <w:p>
      <w:pPr>
        <w:numPr>
          <w:ilvl w:val="0"/>
          <w:numId w:val="4"/>
        </w:numPr>
        <w:spacing w:before="0" w:after="0"/>
        <w:jc w:val="both"/>
      </w:pPr>
      <w:r>
        <w:rPr>
          <w:rFonts w:ascii="Times New Roman" w:hAnsi="Times New Roman"/>
          <w:b w:val="false"/>
          <w:i w:val="false"/>
          <w:color w:val="000000"/>
          <w:sz w:val="22"/>
        </w:rPr>
        <w:t xml:space="preserve">The child no longer lives with the guardian, except for placement outside the home as limited by subrule </w:t>
      </w:r>
      <w:hyperlink r:id="rId13">
        <w:r>
          <w:rPr>
            <w:rStyle w:val="Hyperlink"/>
            <w:rFonts w:ascii="Times New Roman" w:hAnsi="Times New Roman"/>
            <w:b w:val="false"/>
            <w:i w:val="false"/>
            <w:color w:val="000000"/>
            <w:sz w:val="22"/>
          </w:rPr>
          <w:t>204.4(3)</w:t>
        </w:r>
      </w:hyperlink>
      <w:r>
        <w:rPr>
          <w:rFonts w:ascii="Times New Roman" w:hAnsi="Times New Roman"/>
          <w:b w:val="false"/>
          <w:i w:val="false"/>
          <w:color w:val="000000"/>
          <w:sz w:val="22"/>
        </w:rPr>
        <w:t>.</w:t>
      </w:r>
    </w:p>
    <w:p>
      <w:pPr>
        <w:numPr>
          <w:ilvl w:val="0"/>
          <w:numId w:val="4"/>
        </w:numPr>
        <w:spacing w:before="0" w:after="0"/>
        <w:jc w:val="both"/>
      </w:pPr>
      <w:r>
        <w:rPr>
          <w:rFonts w:ascii="Times New Roman" w:hAnsi="Times New Roman"/>
          <w:b w:val="false"/>
          <w:i w:val="false"/>
          <w:color w:val="000000"/>
          <w:sz w:val="22"/>
        </w:rPr>
        <w:t>The relationship ends due to the death of the child.</w:t>
      </w:r>
    </w:p>
    <w:p>
      <w:pPr>
        <w:numPr>
          <w:ilvl w:val="0"/>
          <w:numId w:val="4"/>
        </w:numPr>
        <w:spacing w:before="0" w:after="0"/>
        <w:jc w:val="both"/>
      </w:pPr>
      <w:r>
        <w:rPr>
          <w:rFonts w:ascii="Times New Roman" w:hAnsi="Times New Roman"/>
          <w:b w:val="false"/>
          <w:i w:val="false"/>
          <w:color w:val="000000"/>
          <w:sz w:val="22"/>
        </w:rPr>
        <w:t>The terms of the Guardianship Subsidy Agreement are concluded.</w:t>
      </w:r>
    </w:p>
    <w:p>
      <w:pPr>
        <w:numPr>
          <w:ilvl w:val="0"/>
          <w:numId w:val="4"/>
        </w:numPr>
        <w:spacing w:before="0" w:after="0"/>
        <w:jc w:val="both"/>
      </w:pPr>
      <w:r>
        <w:rPr>
          <w:rFonts w:ascii="Times New Roman" w:hAnsi="Times New Roman"/>
          <w:b w:val="false"/>
          <w:i w:val="false"/>
          <w:color w:val="000000"/>
          <w:sz w:val="22"/>
        </w:rPr>
        <w:t>The guardian requests that the guardianship payment cease.</w:t>
      </w:r>
    </w:p>
    <w:p>
      <w:pPr>
        <w:numPr>
          <w:ilvl w:val="0"/>
          <w:numId w:val="4"/>
        </w:numPr>
        <w:spacing w:before="0" w:after="0"/>
        <w:jc w:val="both"/>
      </w:pPr>
      <w:r>
        <w:rPr>
          <w:rFonts w:ascii="Times New Roman" w:hAnsi="Times New Roman"/>
          <w:b w:val="false"/>
          <w:i w:val="false"/>
          <w:color w:val="000000"/>
          <w:sz w:val="22"/>
        </w:rPr>
        <w:t>The department has determined the guardian is not providing financial support to the child.</w:t>
      </w:r>
    </w:p>
    <w:p>
      <w:pPr>
        <w:numPr>
          <w:ilvl w:val="0"/>
          <w:numId w:val="4"/>
        </w:numPr>
        <w:spacing w:before="0" w:after="0"/>
        <w:jc w:val="both"/>
      </w:pPr>
      <w:r>
        <w:rPr>
          <w:rFonts w:ascii="Times New Roman" w:hAnsi="Times New Roman"/>
          <w:b w:val="false"/>
          <w:i w:val="false"/>
          <w:color w:val="000000"/>
          <w:sz w:val="22"/>
        </w:rPr>
        <w:t>The guardian fails to abide by the terms of the Guardianship Subsidy Agreement.</w:t>
      </w:r>
    </w:p>
    <w:p>
      <w:pPr>
        <w:numPr>
          <w:ilvl w:val="0"/>
          <w:numId w:val="4"/>
        </w:numPr>
        <w:spacing w:before="0" w:after="0"/>
        <w:jc w:val="both"/>
      </w:pPr>
      <w:r>
        <w:rPr>
          <w:rFonts w:ascii="Times New Roman" w:hAnsi="Times New Roman"/>
          <w:b w:val="false"/>
          <w:i w:val="false"/>
          <w:color w:val="000000"/>
          <w:sz w:val="22"/>
        </w:rPr>
        <w:t>The guardianship case is terminated by court order.</w:t>
      </w:r>
    </w:p>
    <w:p>
      <w:pPr>
        <w:numPr>
          <w:ilvl w:val="0"/>
          <w:numId w:val="4"/>
        </w:numPr>
        <w:spacing w:before="0" w:after="0"/>
        <w:jc w:val="both"/>
      </w:pPr>
      <w:r>
        <w:rPr>
          <w:rFonts w:ascii="Times New Roman" w:hAnsi="Times New Roman"/>
          <w:b w:val="false"/>
          <w:i w:val="false"/>
          <w:color w:val="000000"/>
          <w:sz w:val="22"/>
        </w:rPr>
        <w:t>The department funds for subsidized guardianship are no longer available.</w:t>
      </w:r>
    </w:p>
    <w:p>
      <w:pPr>
        <w:numPr>
          <w:ilvl w:val="0"/>
          <w:numId w:val="4"/>
        </w:numPr>
        <w:spacing w:before="0" w:after="0"/>
        <w:jc w:val="both"/>
      </w:pPr>
      <w:r>
        <w:rPr>
          <w:rFonts w:ascii="Times New Roman" w:hAnsi="Times New Roman"/>
          <w:b w:val="false"/>
          <w:i w:val="false"/>
          <w:color w:val="000000"/>
          <w:sz w:val="22"/>
        </w:rPr>
        <w:t>Due to incapacity, the guardian can no longer discharge the responsibilities necessary to protect and care for the child, the guardianship has been or will be vacated, and a successor guardian was not named in the Guardianship Subsidy Agreement.</w:t>
      </w:r>
    </w:p>
    <w:p>
      <w:pPr>
        <w:numPr>
          <w:ilvl w:val="0"/>
          <w:numId w:val="4"/>
        </w:numPr>
        <w:spacing w:before="0" w:after="0"/>
        <w:jc w:val="both"/>
      </w:pPr>
      <w:r>
        <w:rPr>
          <w:rFonts w:ascii="Times New Roman" w:hAnsi="Times New Roman"/>
          <w:b w:val="false"/>
          <w:i w:val="false"/>
          <w:color w:val="000000"/>
          <w:sz w:val="22"/>
        </w:rPr>
        <w:t>The death of the guardian when a successor guardian is not named in the Guardianship Subsidy Agreement (one in a single-parent family or both in a two-parent family).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441—204.8</w:t>
      </w:r>
      <w:r>
        <w:rPr>
          <w:rFonts w:ascii="Times New Roman" w:hAnsi="Times New Roman"/>
          <w:b/>
          <w:i w:val="false"/>
          <w:color w:val="000000"/>
          <w:sz w:val="22"/>
        </w:rPr>
        <w:t xml:space="preserve">(234) </w:t>
      </w:r>
      <w:r>
        <w:rPr>
          <w:rFonts w:ascii="Times New Roman" w:hAnsi="Times New Roman"/>
          <w:b/>
          <w:i w:val="false"/>
          <w:color w:val="000000"/>
          <w:sz w:val="22"/>
        </w:rPr>
        <w:t xml:space="preserve">Reinstatement of subsidy. </w:t>
      </w:r>
      <w:r>
        <w:rPr>
          <w:rFonts w:ascii="Times New Roman" w:hAnsi="Times New Roman"/>
          <w:b w:val="false"/>
          <w:i w:val="false"/>
          <w:color w:val="000000"/>
          <w:sz w:val="22"/>
        </w:rPr>
        <w:t>Reinstatement of the subsidy shall be made when the subsidy was terminated at the guardian’s request and the guardian has requested reinstatement.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441—204.9</w:t>
      </w:r>
      <w:r>
        <w:rPr>
          <w:rFonts w:ascii="Times New Roman" w:hAnsi="Times New Roman"/>
          <w:b/>
          <w:i w:val="false"/>
          <w:color w:val="000000"/>
          <w:sz w:val="22"/>
        </w:rPr>
        <w:t xml:space="preserve">(234)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The guardian may appeal adverse determinations pursuant to </w:t>
      </w:r>
      <w:hyperlink r:id="rId14">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441—204.10</w:t>
      </w:r>
      <w:r>
        <w:rPr>
          <w:rFonts w:ascii="Times New Roman" w:hAnsi="Times New Roman"/>
          <w:b/>
          <w:i w:val="false"/>
          <w:color w:val="000000"/>
          <w:sz w:val="22"/>
        </w:rPr>
        <w:t xml:space="preserve">(234) </w:t>
      </w:r>
      <w:r>
        <w:rPr>
          <w:rFonts w:ascii="Times New Roman" w:hAnsi="Times New Roman"/>
          <w:b/>
          <w:i w:val="false"/>
          <w:color w:val="000000"/>
          <w:sz w:val="22"/>
        </w:rPr>
        <w:t xml:space="preserve">Medical assistance. </w:t>
      </w:r>
    </w:p>
    <w:p>
      <w:pPr>
        <w:spacing w:before="0" w:after="0"/>
        <w:ind w:left="120"/>
        <w:jc w:val="both"/>
      </w:pPr>
      <w:r>
        <w:rPr>
          <w:rFonts w:ascii="Times New Roman" w:hAnsi="Times New Roman"/>
          <w:b/>
          <w:i w:val="false"/>
          <w:color w:val="000000"/>
          <w:sz w:val="22"/>
        </w:rPr>
        <w:t>204.10(1)</w:t>
      </w:r>
      <w:r>
        <w:rPr>
          <w:rFonts w:ascii="Times New Roman" w:hAnsi="Times New Roman"/>
          <w:b w:val="false"/>
          <w:i w:val="false"/>
          <w:color w:val="000000"/>
          <w:sz w:val="22"/>
        </w:rPr>
        <w:t> </w:t>
      </w:r>
      <w:r>
        <w:rPr>
          <w:rFonts w:ascii="Times New Roman" w:hAnsi="Times New Roman"/>
          <w:b w:val="false"/>
          <w:i w:val="false"/>
          <w:color w:val="000000"/>
          <w:sz w:val="22"/>
        </w:rPr>
        <w:t xml:space="preserve">Children eligible for subsidy are entitled to medical assistance as defined in </w:t>
      </w:r>
      <w:hyperlink r:id="rId15">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When an Iowa child receives medical assistance from another state, Iowa shall discontinue paying any medical costs the month following the move unless additional time is necessary for a timely notice of decision to be provided to the guardian.</w:t>
      </w:r>
    </w:p>
    <w:p>
      <w:pPr>
        <w:spacing w:before="0" w:after="0"/>
        <w:ind w:left="120"/>
        <w:jc w:val="both"/>
      </w:pPr>
      <w:r>
        <w:rPr>
          <w:rFonts w:ascii="Times New Roman" w:hAnsi="Times New Roman"/>
          <w:b/>
          <w:i w:val="false"/>
          <w:color w:val="000000"/>
          <w:sz w:val="22"/>
        </w:rPr>
        <w:t>204.10(2)</w:t>
      </w:r>
      <w:r>
        <w:rPr>
          <w:rFonts w:ascii="Times New Roman" w:hAnsi="Times New Roman"/>
          <w:b w:val="false"/>
          <w:i w:val="false"/>
          <w:color w:val="000000"/>
          <w:sz w:val="22"/>
        </w:rPr>
        <w:t> </w:t>
      </w:r>
      <w:r>
        <w:rPr>
          <w:rFonts w:ascii="Times New Roman" w:hAnsi="Times New Roman"/>
          <w:b w:val="false"/>
          <w:i w:val="false"/>
          <w:color w:val="000000"/>
          <w:sz w:val="22"/>
        </w:rPr>
        <w:t>The funding source for medical assistance is based on the following criteria:</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Children from Iowa residing in Iowa shall be covered by Iowa’s medical assistance.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Children from Iowa residing in another state shall receive medical assistance from the state of residence if eligible. Iowa shall provide medical assistance for children not eligible in their state of residence. Medical assistance available in the family’s state of residence may vary from Iowa’s medical assistance.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Children from another state residing in Iowa shall continue to be covered by the other state’s medical assistance unless the state has adopted the adoption assistance interstate compact and a contract between Iowa and the other state exists.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8111C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6">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2006 Iowa Acts, House File 2734</w:t>
      </w:r>
      <w:r>
        <w:rPr>
          <w:rFonts w:ascii="Times New Roman" w:hAnsi="Times New Roman"/>
          <w:b w:val="false"/>
          <w:i w:val="false"/>
          <w:color w:val="000000"/>
          <w:sz w:val="22"/>
        </w:rPr>
        <w:t>, section 17, subsection 11.</w:t>
      </w:r>
    </w:p>
    <w:p>
      <w:pPr>
        <w:spacing w:before="0" w:after="0"/>
        <w:ind w:left="120"/>
        <w:jc w:val="center"/>
      </w:pPr>
      <w:r>
        <w:rPr>
          <w:rFonts w:ascii="Times New Roman" w:hAnsi="Times New Roman"/>
          <w:b w:val="false"/>
          <w:i w:val="false"/>
          <w:color w:val="000000"/>
          <w:sz w:val="21"/>
        </w:rPr>
        <w:t>[Filed emergency 8/12/99 after Notice 6/16/99—published 9/8/99, effective 9/1/99]</w:t>
      </w:r>
    </w:p>
    <w:p>
      <w:pPr>
        <w:spacing w:before="0" w:after="0"/>
        <w:ind w:left="120"/>
        <w:jc w:val="center"/>
      </w:pPr>
      <w:r>
        <w:rPr>
          <w:rFonts w:ascii="Times New Roman" w:hAnsi="Times New Roman"/>
          <w:b w:val="false"/>
          <w:i w:val="false"/>
          <w:color w:val="000000"/>
          <w:sz w:val="21"/>
        </w:rPr>
        <w:t>[Filed emergency 9/15/06 after Notice 7/19/06—published 10/11/06, effective 11/1/06]</w:t>
      </w:r>
    </w:p>
    <w:p>
      <w:pPr>
        <w:spacing w:before="0" w:after="0"/>
        <w:ind w:left="120"/>
        <w:jc w:val="center"/>
      </w:pPr>
      <w:r>
        <w:rPr>
          <w:rFonts w:ascii="Times New Roman" w:hAnsi="Times New Roman"/>
          <w:b w:val="false"/>
          <w:i w:val="false"/>
          <w:color w:val="000000"/>
          <w:sz w:val="21"/>
        </w:rPr>
        <w:t>[Filed emergency 12/13/06 after Notice 11/8/06—published 1/3/07, effective 1/1/07]</w:t>
      </w:r>
    </w:p>
    <w:p>
      <w:pPr>
        <w:spacing w:before="0" w:after="0"/>
        <w:ind w:left="120"/>
        <w:jc w:val="center"/>
      </w:pPr>
      <w:r>
        <w:rPr>
          <w:rFonts w:ascii="Times New Roman" w:hAnsi="Times New Roman"/>
          <w:b w:val="false"/>
          <w:i w:val="false"/>
          <w:color w:val="000000"/>
          <w:sz w:val="21"/>
        </w:rPr>
        <w:t>[Filed ARC 8914B</w:t>
      </w:r>
      <w:r>
        <w:rPr>
          <w:rFonts w:ascii="Times New Roman" w:hAnsi="Times New Roman"/>
          <w:b w:val="false"/>
          <w:i w:val="false"/>
          <w:color w:val="000000"/>
          <w:sz w:val="21"/>
        </w:rPr>
        <w:t xml:space="preserve"> (Notice ARC 8701B, IAB 4/21/10)</w:t>
      </w:r>
      <w:r>
        <w:rPr>
          <w:rFonts w:ascii="Times New Roman" w:hAnsi="Times New Roman"/>
          <w:b w:val="false"/>
          <w:i w:val="false"/>
          <w:color w:val="000000"/>
          <w:sz w:val="21"/>
        </w:rPr>
        <w:t>, IAB 6/30/10, effective 8/4/10]</w:t>
      </w:r>
    </w:p>
    <w:p>
      <w:pPr>
        <w:spacing w:before="0" w:after="0"/>
        <w:ind w:left="120"/>
        <w:jc w:val="center"/>
      </w:pPr>
      <w:r>
        <w:rPr>
          <w:rFonts w:ascii="Times New Roman" w:hAnsi="Times New Roman"/>
          <w:b w:val="false"/>
          <w:i w:val="false"/>
          <w:color w:val="000000"/>
          <w:sz w:val="21"/>
        </w:rPr>
        <w:t>[Filed ARC 4167C</w:t>
      </w:r>
      <w:r>
        <w:rPr>
          <w:rFonts w:ascii="Times New Roman" w:hAnsi="Times New Roman"/>
          <w:b w:val="false"/>
          <w:i w:val="false"/>
          <w:color w:val="000000"/>
          <w:sz w:val="21"/>
        </w:rPr>
        <w:t xml:space="preserve"> (Notice ARC 4032C, IAB 9/26/18)</w:t>
      </w:r>
      <w:r>
        <w:rPr>
          <w:rFonts w:ascii="Times New Roman" w:hAnsi="Times New Roman"/>
          <w:b w:val="false"/>
          <w:i w:val="false"/>
          <w:color w:val="000000"/>
          <w:sz w:val="21"/>
        </w:rPr>
        <w:t>, IAB 12/5/18, effective 2/1/19]</w:t>
      </w:r>
    </w:p>
    <w:p>
      <w:pPr>
        <w:spacing w:before="0" w:after="0"/>
        <w:ind w:left="120"/>
        <w:jc w:val="center"/>
      </w:pPr>
      <w:r>
        <w:rPr>
          <w:rFonts w:ascii="Times New Roman" w:hAnsi="Times New Roman"/>
          <w:b w:val="false"/>
          <w:i w:val="false"/>
          <w:color w:val="000000"/>
          <w:sz w:val="21"/>
        </w:rPr>
        <w:t>[Filed ARC 5680C</w:t>
      </w:r>
      <w:r>
        <w:rPr>
          <w:rFonts w:ascii="Times New Roman" w:hAnsi="Times New Roman"/>
          <w:b w:val="false"/>
          <w:i w:val="false"/>
          <w:color w:val="000000"/>
          <w:sz w:val="21"/>
        </w:rPr>
        <w:t xml:space="preserve"> (Notice ARC 5505C, IAB 3/10/21)</w:t>
      </w:r>
      <w:r>
        <w:rPr>
          <w:rFonts w:ascii="Times New Roman" w:hAnsi="Times New Roman"/>
          <w:b w:val="false"/>
          <w:i w:val="false"/>
          <w:color w:val="000000"/>
          <w:sz w:val="21"/>
        </w:rPr>
        <w:t>, IAB 6/16/21, effective 8/1/21]</w:t>
      </w:r>
    </w:p>
    <w:p>
      <w:pPr>
        <w:spacing w:before="0" w:after="0"/>
        <w:ind w:left="120"/>
        <w:jc w:val="center"/>
      </w:pPr>
      <w:r>
        <w:rPr>
          <w:rFonts w:ascii="Times New Roman" w:hAnsi="Times New Roman"/>
          <w:b w:val="false"/>
          <w:i w:val="false"/>
          <w:color w:val="000000"/>
          <w:sz w:val="21"/>
        </w:rPr>
        <w:t>[Filed ARC 6507C</w:t>
      </w:r>
      <w:r>
        <w:rPr>
          <w:rFonts w:ascii="Times New Roman" w:hAnsi="Times New Roman"/>
          <w:b w:val="false"/>
          <w:i w:val="false"/>
          <w:color w:val="000000"/>
          <w:sz w:val="21"/>
        </w:rPr>
        <w:t xml:space="preserve"> (Notice ARC 6367C, IAB 6/15/22)</w:t>
      </w:r>
      <w:r>
        <w:rPr>
          <w:rFonts w:ascii="Times New Roman" w:hAnsi="Times New Roman"/>
          <w:b w:val="false"/>
          <w:i w:val="false"/>
          <w:color w:val="000000"/>
          <w:sz w:val="21"/>
        </w:rPr>
        <w:t>, IAB 9/7/22, effective 11/1/22]</w:t>
      </w:r>
    </w:p>
    <w:p>
      <w:pPr>
        <w:spacing w:before="0" w:after="0"/>
        <w:ind w:left="120"/>
        <w:jc w:val="center"/>
      </w:pPr>
      <w:r>
        <w:rPr>
          <w:rFonts w:ascii="Times New Roman" w:hAnsi="Times New Roman"/>
          <w:b w:val="false"/>
          <w:i w:val="false"/>
          <w:color w:val="000000"/>
          <w:sz w:val="21"/>
        </w:rPr>
        <w:t>[Filed ARC 8111C</w:t>
      </w:r>
      <w:r>
        <w:rPr>
          <w:rFonts w:ascii="Times New Roman" w:hAnsi="Times New Roman"/>
          <w:b w:val="false"/>
          <w:i w:val="false"/>
          <w:color w:val="000000"/>
          <w:sz w:val="21"/>
        </w:rPr>
        <w:t xml:space="preserve"> (Notice ARC 7359C, IAB 1/24/24)</w:t>
      </w:r>
      <w:r>
        <w:rPr>
          <w:rFonts w:ascii="Times New Roman" w:hAnsi="Times New Roman"/>
          <w:b w:val="false"/>
          <w:i w:val="false"/>
          <w:color w:val="000000"/>
          <w:sz w:val="21"/>
        </w:rPr>
        <w:t>, IAB 7/10/24, effective 8/14/24]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400" w:hanging="360"/>
      </w:pPr>
    </w:lvl>
  </w:abstractNum>
  <w:abstractNum w:abstractNumId="4">
    <w:multiLevelType w:val="multilevel"/>
    <w:lvl w:ilvl="0">
      <w:start w:val="1"/>
      <w:numFmt w:val="none"/>
      <w:lvlText w:val="%1."/>
      <w:lvlJc w:val="left"/>
      <w:pPr>
        <w:ind w:left="400" w:hanging="360"/>
      </w:pPr>
    </w:lvl>
  </w:abstractNum>
  <w:num w:numId="1">
    <w:abstractNumId w:val="1"/>
  </w:num>
  <w:num w:numId="2">
    <w:abstractNumId w:val="0"/>
  </w:num>
  <w:num w:numId="3">
    <w:abstractNumId w:val="3"/>
  </w:num>
  <w:num w:numId="4">
    <w:abstractNumId w:val="4"/>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6B.pdf" Type="http://schemas.openxmlformats.org/officeDocument/2006/relationships/hyperlink" Id="rId4"/>
    <Relationship TargetMode="External" Target="https://www.legis.iowa.gov/docs/ico/chapter/232.pdf" Type="http://schemas.openxmlformats.org/officeDocument/2006/relationships/hyperlink" Id="rId5"/>
    <Relationship TargetMode="External" Target="https://www.legis.iowa.gov/docs/ico/chapter/232D.pdf" Type="http://schemas.openxmlformats.org/officeDocument/2006/relationships/hyperlink" Id="rId6"/>
    <Relationship TargetMode="External" Target="https://www.legis.iowa.gov/docs/iac/rule/441.156.6.pdf" Type="http://schemas.openxmlformats.org/officeDocument/2006/relationships/hyperlink" Id="rId7"/>
    <Relationship TargetMode="External" Target="https://www.legis.iowa.gov/docs/iac/rule/441.156.6.pdf" Type="http://schemas.openxmlformats.org/officeDocument/2006/relationships/hyperlink" Id="rId8"/>
    <Relationship TargetMode="External" Target="https://www.legis.iowa.gov/docs/iac/rule/441.156.8.pdf" Type="http://schemas.openxmlformats.org/officeDocument/2006/relationships/hyperlink" Id="rId9"/>
    <Relationship TargetMode="External" Target="https://www.legis.iowa.gov/docs/iac/rule/441.79.1.pdf" Type="http://schemas.openxmlformats.org/officeDocument/2006/relationships/hyperlink" Id="rId10"/>
    <Relationship TargetMode="External" Target="https://www.legis.iowa.gov/docs/ico/chapter/232.pdf" Type="http://schemas.openxmlformats.org/officeDocument/2006/relationships/hyperlink" Id="rId11"/>
    <Relationship TargetMode="External" Target="https://www.legis.iowa.gov/docs/iac/rule/441.204.3.pdf" Type="http://schemas.openxmlformats.org/officeDocument/2006/relationships/hyperlink" Id="rId12"/>
    <Relationship TargetMode="External" Target="https://www.legis.iowa.gov/docs/iac/rule/441.204.4.pdf" Type="http://schemas.openxmlformats.org/officeDocument/2006/relationships/hyperlink" Id="rId13"/>
    <Relationship TargetMode="External" Target="https://www.legis.iowa.gov/docs/iac/chapter/441.7.pdf" Type="http://schemas.openxmlformats.org/officeDocument/2006/relationships/hyperlink" Id="rId14"/>
    <Relationship TargetMode="External" Target="https://www.legis.iowa.gov/docs/iac/chapter/441.75.pdf" Type="http://schemas.openxmlformats.org/officeDocument/2006/relationships/hyperlink" Id="rId15"/>
    <Relationship TargetMode="External" Target="https://www.legis.iowa.gov/docs/ico/chapter/234.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