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COLLECTION OF DEBT</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441—11.1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w:t>
      </w:r>
      <w:r>
        <w:rPr>
          <w:rFonts w:ascii="Times New Roman" w:hAnsi="Times New Roman"/>
          <w:b w:val="false"/>
          <w:i w:val="false"/>
          <w:color w:val="000000"/>
          <w:sz w:val="22"/>
        </w:rPr>
        <w:t>means that amount which is due and owing within the previous 12 months from the date of submission to the department of administrative services or that amount which is due and owing from the date the repayment agreement or court order is implemented, if less than 12 months, before the date of submission to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repayment” </w:t>
      </w:r>
      <w:r>
        <w:rPr>
          <w:rFonts w:ascii="Times New Roman" w:hAnsi="Times New Roman"/>
          <w:b w:val="false"/>
          <w:i w:val="false"/>
          <w:color w:val="000000"/>
          <w:sz w:val="22"/>
        </w:rPr>
        <w:t>means that payment of the cumulative sum due and owing in accordance with a repayment agreement or court order for the preceding 12 months or the date of the order or agreement if the order or agreement is more recent.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 current or former recipient of public assistance that has been determined by the department to be responsible for the repayment of a particular debt. For the Supplemental Nutrition Assistance Program (SNAP), “debtor” shall include all adult members of the SNAP household participating at the time the SNAP overpayment or program violation occurred and shall include nonrecipients found guilty of violating SNAP rules by committing an act such as, but not limited to, trafficking. For child care assistance, “debtor” may include the current or former provider or current or former recipient of child care assistance. For Medicaid, “debtor” shall include any current or former Medicaid member, or the parents of a current or former Medicaid member who was under the age of 21 when the parents completed the application and had responsibility for reporting changes, who received services or benefits as a result of client or agency error or administrative overpayment or who owes a debt of unpaid premium payments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means family investment program, SNAP, Medicaid, state supplementary assistance, PROMISE JOBS, child care assistance, refugee cash assistance, and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“Repayment agreement” </w:t>
      </w:r>
      <w:r>
        <w:rPr>
          <w:rFonts w:ascii="Times New Roman" w:hAnsi="Times New Roman"/>
          <w:b w:val="false"/>
          <w:i w:val="false"/>
          <w:color w:val="000000"/>
          <w:sz w:val="22"/>
        </w:rPr>
        <w:t>means an agreement entered into voluntarily between the department and the debtor for the repayment of debts and detailed on a form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w:t>
      </w:r>
      <w:r>
        <w:rPr>
          <w:rFonts w:ascii="Times New Roman" w:hAnsi="Times New Roman"/>
          <w:b w:val="false"/>
          <w:i w:val="false"/>
          <w:color w:val="000000"/>
          <w:sz w:val="22"/>
        </w:rPr>
        <w:t xml:space="preserve">means the notification sent to a debtor by the department on a form issued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w:t>
      </w:r>
      <w:r>
        <w:rPr>
          <w:rFonts w:ascii="Times New Roman" w:hAnsi="Times New Roman"/>
          <w:b/>
          <w:i w:val="false"/>
          <w:color w:val="000000"/>
          <w:sz w:val="22"/>
        </w:rPr>
        <w:t xml:space="preserve">(217) </w:t>
      </w:r>
      <w:r>
        <w:rPr>
          <w:rFonts w:ascii="Times New Roman" w:hAnsi="Times New Roman"/>
          <w:b/>
          <w:i w:val="false"/>
          <w:color w:val="000000"/>
          <w:sz w:val="22"/>
        </w:rPr>
        <w:t xml:space="preserve">Establishment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Accounts. </w:t>
      </w:r>
      <w:r>
        <w:rPr>
          <w:rFonts w:ascii="Times New Roman" w:hAnsi="Times New Roman"/>
          <w:b w:val="false"/>
          <w:i w:val="false"/>
          <w:color w:val="000000"/>
          <w:sz w:val="22"/>
        </w:rPr>
        <w:t>The department will maintain an account for each debt that has occurred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debtor name and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in which the debt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debt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Inclusive dates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dollar amount of each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Primary cause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transaction applied to this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Notice of debt. </w:t>
      </w:r>
      <w:r>
        <w:rPr>
          <w:rFonts w:ascii="Times New Roman" w:hAnsi="Times New Roman"/>
          <w:b w:val="false"/>
          <w:i w:val="false"/>
          <w:color w:val="000000"/>
          <w:sz w:val="22"/>
        </w:rPr>
        <w:t>A claim is established when the first written notice of the debt is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Change in debt. </w:t>
      </w:r>
      <w:r>
        <w:rPr>
          <w:rFonts w:ascii="Times New Roman" w:hAnsi="Times New Roman"/>
          <w:b w:val="false"/>
          <w:i w:val="false"/>
          <w:color w:val="000000"/>
          <w:sz w:val="22"/>
        </w:rPr>
        <w:t>An additional written notification of debt will be issued if a change occurs in the amount or period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Collection action. </w:t>
      </w:r>
      <w:r>
        <w:rPr>
          <w:rFonts w:ascii="Times New Roman" w:hAnsi="Times New Roman"/>
          <w:b w:val="false"/>
          <w:i w:val="false"/>
          <w:color w:val="000000"/>
          <w:sz w:val="22"/>
        </w:rPr>
        <w:t>No collection action will be initiated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 for which no notice of debt has been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debt that is in appeal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debt that is in suspended status due to an exception to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of payment. </w:t>
      </w:r>
      <w:r>
        <w:rPr>
          <w:rFonts w:ascii="Times New Roman" w:hAnsi="Times New Roman"/>
          <w:b w:val="false"/>
          <w:i w:val="false"/>
          <w:color w:val="000000"/>
          <w:sz w:val="22"/>
        </w:rPr>
        <w:t xml:space="preserve">Payment will be applied only to debts subject to collection pursuant to subrule </w:t>
      </w:r>
      <w:hyperlink r:id="rId4">
        <w:r>
          <w:rPr>
            <w:rStyle w:val="Hyperlink"/>
            <w:rFonts w:ascii="Times New Roman" w:hAnsi="Times New Roman"/>
            <w:b w:val="false"/>
            <w:i w:val="false"/>
            <w:color w:val="000000"/>
            <w:sz w:val="22"/>
          </w:rPr>
          <w:t>11.2(4)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 to a single program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debt in a program, payment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to all debts that have an agreement in chronological order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Then to debts that do not have an agreement in chronological order of discovery until all debts have been paid in full or the full payment amount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SNAP, payment will be applied first to all debts with an agreement and then to debts without an agreement. Within those two groupings, payment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to state-only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Then to intentional program violation (IPV)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Then to inadvertent household error (IHE) debts in chronological order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Then to agency error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 to multiple program areas. </w:t>
      </w:r>
      <w:r>
        <w:rPr>
          <w:rFonts w:ascii="Times New Roman" w:hAnsi="Times New Roman"/>
          <w:b w:val="false"/>
          <w:i w:val="false"/>
          <w:color w:val="000000"/>
          <w:sz w:val="22"/>
        </w:rPr>
        <w:t>If there are debts in more than one program area of public assistance, payments received will be applied to those program areas as indicated by the mode of repayment (SNAP benefits, FIP benefits) or as indicated by the client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Application of undesignated cash payment. </w:t>
      </w:r>
      <w:r>
        <w:rPr>
          <w:rFonts w:ascii="Times New Roman" w:hAnsi="Times New Roman"/>
          <w:b w:val="false"/>
          <w:i w:val="false"/>
          <w:color w:val="000000"/>
          <w:sz w:val="22"/>
        </w:rPr>
        <w:t>If an undesignated cash payment is received, it will be applied to each program area proportionally based on the cumulative balance of all debts in all program areas combined.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w:t>
      </w:r>
      <w:r>
        <w:rPr>
          <w:rFonts w:ascii="Times New Roman" w:hAnsi="Times New Roman"/>
          <w:b/>
          <w:i w:val="false"/>
          <w:color w:val="000000"/>
          <w:sz w:val="22"/>
        </w:rPr>
        <w:t xml:space="preserve">(217) </w:t>
      </w:r>
      <w:r>
        <w:rPr>
          <w:rFonts w:ascii="Times New Roman" w:hAnsi="Times New Roman"/>
          <w:b/>
          <w:i w:val="false"/>
          <w:color w:val="000000"/>
          <w:sz w:val="22"/>
        </w:rPr>
        <w:t xml:space="preserve">Setoff against state income tax refund, rebate, or other state payments, including, for example, state employee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Criteria for setoff.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claim against a debtor may be made by the department for public assistance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debtor has failed to negotiate a repayment agreement for that program area of public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repayment agreement is not current,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cumulative balance of the applicable debts in </w:t>
      </w:r>
      <w:hyperlink r:id="rId5">
        <w:r>
          <w:rPr>
            <w:rStyle w:val="Hyperlink"/>
            <w:rFonts w:ascii="Times New Roman" w:hAnsi="Times New Roman"/>
            <w:b w:val="false"/>
            <w:i w:val="false"/>
            <w:color w:val="000000"/>
            <w:sz w:val="22"/>
          </w:rPr>
          <w:t>11.4(1)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exceeds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against a debtor will not be made by the department for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debt is in suspended status due to an exception to policy or is in an appeal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debt is being recovered through grant or benefit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Frequency of submission. </w:t>
      </w:r>
      <w:r>
        <w:rPr>
          <w:rFonts w:ascii="Times New Roman" w:hAnsi="Times New Roman"/>
          <w:b w:val="false"/>
          <w:i w:val="false"/>
          <w:color w:val="000000"/>
          <w:sz w:val="22"/>
        </w:rPr>
        <w:t xml:space="preserve">The department will submit to the department of administrative services twice each month a list of those debtors who have a debt meeting the criteria in subrule </w:t>
      </w:r>
      <w:hyperlink r:id="rId6">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Pre-setoff notice. </w:t>
      </w:r>
      <w:r>
        <w:rPr>
          <w:rFonts w:ascii="Times New Roman" w:hAnsi="Times New Roman"/>
          <w:b w:val="false"/>
          <w:i w:val="false"/>
          <w:color w:val="000000"/>
          <w:sz w:val="22"/>
        </w:rPr>
        <w:t>The department will mail written notification to a debtor to inform the debtor of the amount the department intends to claim and apply to debts in each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by the department of administrative services that the debtor is entitled to a state income tax refund, rebate, or other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makes claim against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Method for division of joint payments. </w:t>
      </w:r>
      <w:r>
        <w:rPr>
          <w:rFonts w:ascii="Times New Roman" w:hAnsi="Times New Roman"/>
          <w:b w:val="false"/>
          <w:i w:val="false"/>
          <w:color w:val="000000"/>
          <w:sz w:val="22"/>
        </w:rPr>
        <w:t>When either spouse wishes to request a division of a jointly or commonly owned right to payment, a written request shall be submitted to the department within 15 days after the written notification is mailed. When the request is received within the 15-day limit, the spouse’s proportionate share of a jointly or commonly owned right to payment, as determined by the department of administrative services, shall be released by the department of administrative services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Other claims are made on that portion of the jointly or commonly owned right to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spouse was also a member of the same household and the spouse’s income and resources were or should have been considered in the calculation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When a debtor wishes to contest the claim of the department, a written request shall be submitted to the department within 15 days after the written notification is mailed. When the request is received within the 15-day limit, a hearing will be granted pursuant to rules in </w:t>
      </w:r>
      <w:hyperlink r:id="rId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 upheld in the final decision, the setoff process shall continue and the refund, rebate, or other state payment will be applied to the appropriate delinquent debts.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is reversed in the final decision, the debtor’s refund, rebate, or other state payment will be released to the debtor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Debt setoff. </w:t>
      </w:r>
      <w:r>
        <w:rPr>
          <w:rFonts w:ascii="Times New Roman" w:hAnsi="Times New Roman"/>
          <w:b w:val="false"/>
          <w:i w:val="false"/>
          <w:color w:val="000000"/>
          <w:sz w:val="22"/>
        </w:rPr>
        <w:t>If the department has not received a request for an appeal hearing or a request for division of a jointly or commonly owned right to payment within 15 days after the date the written notification is mailed, the department will notify a debtor of the final decision regarding the claim by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color w:val="000000"/>
          <w:sz w:val="22"/>
        </w:rPr>
        <w:t xml:space="preserve">Application of setoff. </w:t>
      </w:r>
      <w:r>
        <w:rPr>
          <w:rFonts w:ascii="Times New Roman" w:hAnsi="Times New Roman"/>
          <w:b w:val="false"/>
          <w:i w:val="false"/>
          <w:color w:val="000000"/>
          <w:sz w:val="22"/>
        </w:rPr>
        <w:t xml:space="preserve">The department will apply any setoff received from the department of administrative services as a result of this rule to the debtor’s debts as indicated on the written notification mailed to the debtor and in accordance with rule </w:t>
      </w:r>
      <w:hyperlink r:id="rId8">
        <w:r>
          <w:rPr>
            <w:rStyle w:val="Hyperlink"/>
            <w:rFonts w:ascii="Times New Roman" w:hAnsi="Times New Roman"/>
            <w:b w:val="false"/>
            <w:i w:val="false"/>
            <w:color w:val="000000"/>
            <w:sz w:val="22"/>
          </w:rPr>
          <w:t>441—11.3</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Any amount remaining after the setoff shall be released back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w:t>
      </w:r>
      <w:r>
        <w:rPr>
          <w:rFonts w:ascii="Times New Roman" w:hAnsi="Times New Roman"/>
          <w:b/>
          <w:i w:val="false"/>
          <w:color w:val="000000"/>
          <w:sz w:val="22"/>
        </w:rPr>
        <w:t xml:space="preserve">(234) </w:t>
      </w:r>
      <w:r>
        <w:rPr>
          <w:rFonts w:ascii="Times New Roman" w:hAnsi="Times New Roman"/>
          <w:b/>
          <w:i w:val="false"/>
          <w:color w:val="000000"/>
          <w:sz w:val="22"/>
        </w:rPr>
        <w:t xml:space="preserve">Setoff against federal income tax refund or other federal payments, including, for example, federal employee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Criteria for setoff.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Debtors not participating in SNAP shall be subject to collection action through the treasury offset program (TOP) which includes, but is not limited to, federal salary offset and federal tax refund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Debtors shall be referred to TOP if they are delinquent in repaying their SNAP debt and there is a claim or combination of claims with an unpaid balance that exceeds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claim that is less than three months old or more than ten years old as of January 31 of the offset year shall be referred.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Claims that have had a final judgment entered are not subject to the ten-year time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Debtors are delinquent in repaying their SNAP debt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repayment agreement has not been signed and 120 days have elapsed since the due date of the demand letter as defined in </w:t>
      </w:r>
      <w:hyperlink r:id="rId9">
        <w:r>
          <w:rPr>
            <w:rStyle w:val="Hyperlink"/>
            <w:rFonts w:ascii="Times New Roman" w:hAnsi="Times New Roman"/>
            <w:b w:val="false"/>
            <w:i w:val="false"/>
            <w:color w:val="000000"/>
            <w:sz w:val="22"/>
          </w:rPr>
          <w:t>441—subrule 65.21(4)</w:t>
        </w:r>
      </w:hyperlink>
      <w:r>
        <w:rPr>
          <w:rFonts w:ascii="Times New Roman" w:hAnsi="Times New Roman"/>
          <w:b w:val="false"/>
          <w:i w:val="false"/>
          <w:color w:val="000000"/>
          <w:sz w:val="22"/>
        </w:rPr>
        <w:t xml:space="preserve"> minus any days the claim was not subject to collection action because of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repayment agreement has been signed but the debtor has failed to make the agreed-upon payments and has failed to make up the missed payments. The debtor shall be referred to TOP when 120 days have elapsed since the first of the month following the month that the debtor failed to make the agreed-upon payment and has not subsequently made up the missed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against an individual will not be referred to TOP by the department of inspections, appeals, and licensing (DIAL) for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debt is in suspended status due to an exception to policy or is in an appeal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debt is being recovered through benefit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Setoff under TOP. </w:t>
      </w:r>
      <w:r>
        <w:rPr>
          <w:rFonts w:ascii="Times New Roman" w:hAnsi="Times New Roman"/>
          <w:b w:val="false"/>
          <w:i w:val="false"/>
          <w:color w:val="000000"/>
          <w:sz w:val="22"/>
        </w:rPr>
        <w:t>DIAL shall, by December 1 of each year, submit a notification of liability for delinquent claims to the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Pre-setoff notice. </w:t>
      </w:r>
      <w:r>
        <w:rPr>
          <w:rFonts w:ascii="Times New Roman" w:hAnsi="Times New Roman"/>
          <w:b w:val="false"/>
          <w:i w:val="false"/>
          <w:color w:val="000000"/>
          <w:sz w:val="22"/>
        </w:rPr>
        <w:t>DIAL shall notify a debtor identifying the amount the department intends to refer to TOP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Offset fee. </w:t>
      </w:r>
      <w:r>
        <w:rPr>
          <w:rFonts w:ascii="Times New Roman" w:hAnsi="Times New Roman"/>
          <w:b w:val="false"/>
          <w:i w:val="false"/>
          <w:color w:val="000000"/>
          <w:sz w:val="22"/>
        </w:rPr>
        <w:t>For each offset that the Department of the Treasury effects against an individual referred to TOP, Treasury will charge the individual a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When an individual wishes to contest the delinquent status of a claim as identified by DIAL, a written request shall be submitted to DIAL within 60 days of the date of the pre-offset notice. When the request is received within the 60-day limit, a review shall be granted.</w:t>
      </w:r>
    </w:p>
    <w:p>
      <w:pPr>
        <w:spacing w:before="0" w:after="0"/>
        <w:ind w:left="120"/>
        <w:jc w:val="both"/>
      </w:pPr>
      <w:r>
        <w:rPr>
          <w:rFonts w:ascii="Times New Roman" w:hAnsi="Times New Roman"/>
          <w:b w:val="false"/>
          <w:i w:val="false"/>
          <w:color w:val="000000"/>
          <w:sz w:val="22"/>
        </w:rPr>
        <w:t>DIAL shall determine if the claim is past due and legally enforceable and shall notify the individual in writing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color w:val="000000"/>
          <w:sz w:val="22"/>
        </w:rPr>
        <w:t xml:space="preserve">Application of setoff. </w:t>
      </w:r>
      <w:r>
        <w:rPr>
          <w:rFonts w:ascii="Times New Roman" w:hAnsi="Times New Roman"/>
          <w:b w:val="false"/>
          <w:i w:val="false"/>
          <w:color w:val="000000"/>
          <w:sz w:val="22"/>
        </w:rPr>
        <w:t>DIAL shall apply any setoff received as a result of this rule to the individual’s SNAP debts.</w:t>
      </w:r>
    </w:p>
    <w:p>
      <w:pPr>
        <w:spacing w:before="0" w:after="0"/>
        <w:ind w:left="120"/>
        <w:jc w:val="both"/>
      </w:pPr>
      <w:r>
        <w:rPr>
          <w:rFonts w:ascii="Times New Roman" w:hAnsi="Times New Roman"/>
          <w:b w:val="false"/>
          <w:i w:val="false"/>
          <w:color w:val="000000"/>
          <w:sz w:val="22"/>
        </w:rPr>
        <w:t>Any amount remaining after the setoff shall be released back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217.34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emergency 9/19/96—published 10/9/96, effective 9/21/96]</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11/16/05—published 12/7/06, effective 12/1/05]</w:t>
      </w:r>
    </w:p>
    <w:p>
      <w:pPr>
        <w:spacing w:before="0" w:after="0"/>
        <w:ind w:left="120"/>
        <w:jc w:val="center"/>
      </w:pPr>
      <w:r>
        <w:rPr>
          <w:rFonts w:ascii="Times New Roman" w:hAnsi="Times New Roman"/>
          <w:b w:val="false"/>
          <w:i w:val="false"/>
          <w:color w:val="000000"/>
          <w:sz w:val="21"/>
        </w:rPr>
        <w:t>[Filed emergency 10/10/07—published 11/7/07, effective 11/1/07]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11/7/07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7829B</w:t>
      </w:r>
      <w:r>
        <w:rPr>
          <w:rFonts w:ascii="Times New Roman" w:hAnsi="Times New Roman"/>
          <w:b w:val="false"/>
          <w:i w:val="false"/>
          <w:color w:val="000000"/>
          <w:sz w:val="21"/>
        </w:rPr>
        <w:t xml:space="preserve"> (Notice ARC 7654B,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9701B, IAB 9/7/11, effective 9/1/11]</w:t>
      </w:r>
    </w:p>
    <w:p>
      <w:pPr>
        <w:spacing w:before="0" w:after="0"/>
        <w:ind w:left="120"/>
        <w:jc w:val="center"/>
      </w:pPr>
      <w:r>
        <w:rPr>
          <w:rFonts w:ascii="Times New Roman" w:hAnsi="Times New Roman"/>
          <w:b w:val="false"/>
          <w:i w:val="false"/>
          <w:color w:val="000000"/>
          <w:sz w:val="21"/>
        </w:rPr>
        <w:t>[Filed Emergency After Notice ARC 2884C</w:t>
      </w:r>
      <w:r>
        <w:rPr>
          <w:rFonts w:ascii="Times New Roman" w:hAnsi="Times New Roman"/>
          <w:b w:val="false"/>
          <w:i w:val="false"/>
          <w:color w:val="000000"/>
          <w:sz w:val="21"/>
        </w:rPr>
        <w:t xml:space="preserve"> (Notice ARC 2770C, IAB 10/12/16)</w:t>
      </w:r>
      <w:r>
        <w:rPr>
          <w:rFonts w:ascii="Times New Roman" w:hAnsi="Times New Roman"/>
          <w:b w:val="false"/>
          <w:i w:val="false"/>
          <w:color w:val="000000"/>
          <w:sz w:val="21"/>
        </w:rPr>
        <w:t>, IAB 1/4/17, effective 12/14/16]</w:t>
      </w:r>
    </w:p>
    <w:p>
      <w:pPr>
        <w:spacing w:before="0" w:after="0"/>
        <w:ind w:left="120"/>
        <w:jc w:val="center"/>
      </w:pPr>
      <w:r>
        <w:rPr>
          <w:rFonts w:ascii="Times New Roman" w:hAnsi="Times New Roman"/>
          <w:b w:val="false"/>
          <w:i w:val="false"/>
          <w:color w:val="000000"/>
          <w:sz w:val="21"/>
        </w:rPr>
        <w:t>[Filed ARC 6495C</w:t>
      </w:r>
      <w:r>
        <w:rPr>
          <w:rFonts w:ascii="Times New Roman" w:hAnsi="Times New Roman"/>
          <w:b w:val="false"/>
          <w:i w:val="false"/>
          <w:color w:val="000000"/>
          <w:sz w:val="21"/>
        </w:rPr>
        <w:t xml:space="preserve"> (Notice ARC 6362C,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8205C</w:t>
      </w:r>
      <w:r>
        <w:rPr>
          <w:rFonts w:ascii="Times New Roman" w:hAnsi="Times New Roman"/>
          <w:b w:val="false"/>
          <w:i w:val="false"/>
          <w:color w:val="000000"/>
          <w:sz w:val="21"/>
        </w:rPr>
        <w:t xml:space="preserve"> (Notice ARC 7365C, IAB 1/24/24)</w:t>
      </w:r>
      <w:r>
        <w:rPr>
          <w:rFonts w:ascii="Times New Roman" w:hAnsi="Times New Roman"/>
          <w:b w:val="false"/>
          <w:i w:val="false"/>
          <w:color w:val="000000"/>
          <w:sz w:val="21"/>
        </w:rPr>
        <w:t>, IAB 9/4/24, effective 10/9/24]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2.pdf" Type="http://schemas.openxmlformats.org/officeDocument/2006/relationships/hyperlink" Id="rId4"/>
    <Relationship TargetMode="External" Target="https://www.legis.iowa.gov/docs/iac/rule/441.11.4.pdf" Type="http://schemas.openxmlformats.org/officeDocument/2006/relationships/hyperlink" Id="rId5"/>
    <Relationship TargetMode="External" Target="https://www.legis.iowa.gov/docs/iac/rule/441.11.4.pdf" Type="http://schemas.openxmlformats.org/officeDocument/2006/relationships/hyperlink" Id="rId6"/>
    <Relationship TargetMode="External" Target="https://www.legis.iowa.gov/docs/iac/chapter/441.7.pdf" Type="http://schemas.openxmlformats.org/officeDocument/2006/relationships/hyperlink" Id="rId7"/>
    <Relationship TargetMode="External" Target="https://www.legis.iowa.gov/docs/iac/rule/441.11.3.pdf" Type="http://schemas.openxmlformats.org/officeDocument/2006/relationships/hyperlink" Id="rId8"/>
    <Relationship TargetMode="External" Target="https://www.legis.iowa.gov/docs/iac/rule/441.65.21.pdf" Type="http://schemas.openxmlformats.org/officeDocument/2006/relationships/hyperlink" Id="rId9"/>
    <Relationship TargetMode="External" Target="https://www.legis.iowa.gov/docs/ico/chapter/217.pdf" Type="http://schemas.openxmlformats.org/officeDocument/2006/relationships/hyperlink" Id="rId10"/>
    <Relationship TargetMode="External" Target="https://www.legis.iowa.gov/docs/ico/chapter/234.pdf" Type="http://schemas.openxmlformats.org/officeDocument/2006/relationships/hyperlink" Id="rId11"/>
    <Relationship TargetMode="External" Target="https://www.legis.iowa.gov/docs/ico/chapter/239B.pdf" Type="http://schemas.openxmlformats.org/officeDocument/2006/relationships/hyperlink" Id="rId12"/>
    <Relationship TargetMode="External" Target="https://www.legis.iowa.gov/docs/ico/chapter/249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