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ALL IOWA OPPORTUNITY SCHOLARSHIP PROGRAM</w:t>
      </w:r>
    </w:p>
    <w:p>
      <w:pPr>
        <w:spacing w:before="0" w:after="0"/>
        <w:ind w:left="120"/>
        <w:jc w:val="both"/>
      </w:pPr>
      <w:r>
        <w:rPr>
          <w:rFonts w:ascii="Times New Roman" w:hAnsi="Times New Roman"/>
          <w:b/>
          <w:i w:val="false"/>
          <w:color w:val="000000"/>
          <w:sz w:val="22"/>
        </w:rPr>
        <w:t>283—8.1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all Iowa opportunity scholarship program is based on the financial metric and financial need of Iowa residents enrolled at eligible institutions.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Additional terms not defined in this chapter are defined in Iowa Code section </w:t>
      </w:r>
      <w:hyperlink r:id="rId4">
        <w:r>
          <w:rPr>
            <w:rStyle w:val="Hyperlink"/>
            <w:rFonts w:ascii="Times New Roman" w:hAnsi="Times New Roman"/>
            <w:b w:val="false"/>
            <w:i w:val="false"/>
            <w:color w:val="000000"/>
            <w:sz w:val="22"/>
          </w:rPr>
          <w:t>256.212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“Eligible foster care student”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256.212(1)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“Eligible surviving-child student”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256.212(1)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enrolls at least part-time in a program of study at an eligible institution and who meets the award eligibility criteria and the following provisions:</w:t>
      </w:r>
    </w:p>
    <w:p>
      <w:pPr>
        <w:spacing w:before="0" w:after="0"/>
        <w:ind w:left="120"/>
        <w:jc w:val="both"/>
      </w:pP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Begins attendance in a program of study at an eligible institution within two academic years of graduation from an Iowa high school, completion of an Iowa home school program, or receipt of a high school equivalency diploma under Iowa Code chapter </w:t>
      </w:r>
      <w:hyperlink r:id="rId14">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 xml:space="preserve"> and continuously receives the scholarship during the fall and spring semester, or the equivalent; or is an eligible foster care student.</w:t>
      </w:r>
    </w:p>
    <w:p>
      <w:pPr>
        <w:spacing w:before="0" w:after="0"/>
        <w:ind w:left="120"/>
        <w:jc w:val="both"/>
      </w:pP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Completes the applications the commission deems necessary on or before the date established by the commission, establishes financial need, has a financial metric at or below the average undergraduate tuition and fee rate for regent university students in the academic year prior to the year for which awards are being made, meets satisfactory academic progress standards, and does not meet a condition in </w:t>
      </w:r>
      <w:hyperlink r:id="rId15">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no more than the equivalent of eight full-time awards.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maximum award for full-time students will be the lesser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student’s financial need,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One-half of the average tuition and mandatory fees for Iowa resident regent university students in the year prior to the academic year in which awards are being made.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maximum award for a full-time student will not be affected by the ranking system used to prioritize grants. 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among eligible applicants. </w:t>
      </w:r>
      <w:r>
        <w:rPr>
          <w:rFonts w:ascii="Times New Roman" w:hAnsi="Times New Roman"/>
          <w:b w:val="false"/>
          <w:i w:val="false"/>
          <w:color w:val="000000"/>
          <w:sz w:val="22"/>
        </w:rPr>
        <w:t>Awards will be made in the order of the following priority categories. If all eligible applicants within a priority category cannot be funded, awards will be made to eligible applicants with the lowest financial metrics. If all eligible applicants with a given financial metric cannot be funded, those eligible applicants will be ranked according to the date the Free Application for Federal Student Aid was completed.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All new and renewal eligible foster care students will receive first priority for funding.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All new and renewal eligible surviving-child students will receive second priority for funding.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All eligible renewal applicants not awarded in paragraphs </w:t>
      </w:r>
      <w:hyperlink r:id="rId16">
        <w:r>
          <w:rPr>
            <w:rStyle w:val="Hyperlink"/>
            <w:rFonts w:ascii="Times New Roman" w:hAnsi="Times New Roman"/>
            <w:b w:val="false"/>
            <w:i w:val="false"/>
            <w:color w:val="000000"/>
            <w:sz w:val="22"/>
          </w:rPr>
          <w:t>8.4(3)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will receive third priority for funding.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If funding remains after all eligible foster care students, eligible surviving-child students, and renewal students have been awarded, fourth priority will be given to students who participated in federal TRIO programs, participated in alternative programs in high school, or graduated from alternative high schools.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If funding remains after each of the previous priority categories has been awarded, fifth priority will be given to students who participated in federal GEAR UP programs.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If funding is available, funding will be awarded to remaining eligible applicants.</w:t>
      </w:r>
    </w:p>
    <w:p>
      <w:pPr>
        <w:spacing w:before="0" w:after="0"/>
        <w:ind w:left="120"/>
        <w:jc w:val="both"/>
      </w:pP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commission will verify the eligibility and priority category of eligible applicants.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commission will notify recipients and eligible institutions of the awards. Eligible institutions will notify the student of the award amount and the state program from which funding is being provided and will state that the award is contingent on the availability of state funds.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Eligible institutions will apply awards directly to student accounts to cover items included in the cost of attendance, as defined in Title IV, Part B, of the federal Higher Education Act of 1965, as of July 1, 2023.</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or financial situation and promptly report those changes to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Eligible institutions are responsible for completing necessary verification and for coordinating other aid to ensure compliance with student eligibility requirements and allowable award amounts. Eligible institutions will report changes in student eligibility to the commission.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7">
        <w:r>
          <w:rPr>
            <w:rStyle w:val="Hyperlink"/>
            <w:rFonts w:ascii="Times New Roman" w:hAnsi="Times New Roman"/>
            <w:b w:val="false"/>
            <w:i w:val="false"/>
            <w:color w:val="000000"/>
            <w:sz w:val="22"/>
          </w:rPr>
          <w:t>256.212</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283—8.5</w:t>
      </w:r>
      <w:r>
        <w:rPr>
          <w:rFonts w:ascii="Times New Roman" w:hAnsi="Times New Roman"/>
          <w:b/>
          <w:i w:val="false"/>
          <w:color w:val="000000"/>
          <w:sz w:val="22"/>
        </w:rPr>
        <w:t xml:space="preserve">(256)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Individuals may delay the initial period of participation in the program in </w:t>
      </w:r>
      <w:hyperlink r:id="rId18">
        <w:r>
          <w:rPr>
            <w:rStyle w:val="Hyperlink"/>
            <w:rFonts w:ascii="Times New Roman" w:hAnsi="Times New Roman"/>
            <w:b w:val="false"/>
            <w:i w:val="false"/>
            <w:color w:val="000000"/>
            <w:sz w:val="22"/>
          </w:rPr>
          <w:t>subrule 8.3(1)</w:t>
        </w:r>
      </w:hyperlink>
      <w:r>
        <w:rPr>
          <w:rFonts w:ascii="Times New Roman" w:hAnsi="Times New Roman"/>
          <w:b w:val="false"/>
          <w:i w:val="false"/>
          <w:color w:val="000000"/>
          <w:sz w:val="22"/>
        </w:rPr>
        <w:t xml:space="preserve"> for an additional two years or suspend participation for up to two years due to military deployment; due to a temporary medical incapacity; in relation to the declaration of a national or state emergency; due to service in AmeriCorps, Volunteers in Service to America, or the federal Peace Corps; due to a period of religious missionary work conducted by an organization exempt from federal income taxation pursuant to Section 501(c)(3) of the Internal Revenue Code; or due to other exceptional circumstances approved by the commission. The individual must complete an application for award deferral or suspension. The application for award deferral or suspension will be provided by the eligible institution upon request. If the application is approved, the recipient is not required to continuously receive the scholarship during the period covered.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256.212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6/14/07—published 7/4/07, effective 6/14/07]</w:t>
      </w:r>
    </w:p>
    <w:p>
      <w:pPr>
        <w:spacing w:before="0" w:after="0"/>
        <w:ind w:left="120"/>
        <w:jc w:val="center"/>
      </w:pPr>
      <w:r>
        <w:rPr>
          <w:rFonts w:ascii="Times New Roman" w:hAnsi="Times New Roman"/>
          <w:b w:val="false"/>
          <w:i w:val="false"/>
          <w:color w:val="000000"/>
          <w:sz w:val="21"/>
        </w:rPr>
        <w:t>[Filed emergency 7/19/07—published 8/15/07, effective 7/19/07]</w:t>
      </w:r>
    </w:p>
    <w:p>
      <w:pPr>
        <w:spacing w:before="0" w:after="0"/>
        <w:ind w:left="120"/>
        <w:jc w:val="center"/>
      </w:pPr>
      <w:r>
        <w:rPr>
          <w:rFonts w:ascii="Times New Roman" w:hAnsi="Times New Roman"/>
          <w:b w:val="false"/>
          <w:i w:val="false"/>
          <w:color w:val="000000"/>
          <w:sz w:val="21"/>
        </w:rPr>
        <w:t>[Filed 1/18/08, Notice 10/10/07—published 2/13/08, effective 3/19/08]</w:t>
      </w:r>
    </w:p>
    <w:p>
      <w:pPr>
        <w:spacing w:before="0" w:after="0"/>
        <w:ind w:left="120"/>
        <w:jc w:val="center"/>
      </w:pPr>
      <w:r>
        <w:rPr>
          <w:rFonts w:ascii="Times New Roman" w:hAnsi="Times New Roman"/>
          <w:b w:val="false"/>
          <w:i w:val="false"/>
          <w:color w:val="000000"/>
          <w:sz w:val="21"/>
        </w:rPr>
        <w:t>[Filed ARC 8333B</w:t>
      </w:r>
      <w:r>
        <w:rPr>
          <w:rFonts w:ascii="Times New Roman" w:hAnsi="Times New Roman"/>
          <w:b w:val="false"/>
          <w:i w:val="false"/>
          <w:color w:val="000000"/>
          <w:sz w:val="21"/>
        </w:rPr>
        <w:t xml:space="preserve"> (Notice ARC 8036B, IAB 8/12/09)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1958C</w:t>
      </w:r>
      <w:r>
        <w:rPr>
          <w:rFonts w:ascii="Times New Roman" w:hAnsi="Times New Roman"/>
          <w:b w:val="false"/>
          <w:i w:val="false"/>
          <w:color w:val="000000"/>
          <w:sz w:val="21"/>
        </w:rPr>
        <w:t xml:space="preserve"> (Notice ARC 1799C,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r>
        <w:br/>
      </w:r>
      <w:r>
        <w:rPr>
          <w:rFonts w:ascii="Times New Roman" w:hAnsi="Times New Roman"/>
          <w:b w:val="false"/>
          <w:i w:val="false"/>
          <w:color w:val="000000"/>
          <w:sz w:val="21"/>
        </w:rPr>
        <w:t>[Filed ARC 2206C</w:t>
      </w:r>
      <w:r>
        <w:rPr>
          <w:rFonts w:ascii="Times New Roman" w:hAnsi="Times New Roman"/>
          <w:b w:val="false"/>
          <w:i w:val="false"/>
          <w:color w:val="000000"/>
          <w:sz w:val="21"/>
        </w:rPr>
        <w:t xml:space="preserve"> (Notice ARC 2112C,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2943C</w:t>
      </w:r>
      <w:r>
        <w:rPr>
          <w:rFonts w:ascii="Times New Roman" w:hAnsi="Times New Roman"/>
          <w:b w:val="false"/>
          <w:i w:val="false"/>
          <w:color w:val="000000"/>
          <w:sz w:val="21"/>
        </w:rPr>
        <w:t xml:space="preserve"> (Notice ARC 2677C, IAB 8/17/16)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Emergency After Notice ARC 3381C</w:t>
      </w:r>
      <w:r>
        <w:rPr>
          <w:rFonts w:ascii="Times New Roman" w:hAnsi="Times New Roman"/>
          <w:b w:val="false"/>
          <w:i w:val="false"/>
          <w:color w:val="000000"/>
          <w:sz w:val="21"/>
        </w:rPr>
        <w:t xml:space="preserve"> (Notice ARC 3125C, IAB 6/21/17)</w:t>
      </w:r>
      <w:r>
        <w:rPr>
          <w:rFonts w:ascii="Times New Roman" w:hAnsi="Times New Roman"/>
          <w:b w:val="false"/>
          <w:i w:val="false"/>
          <w:color w:val="000000"/>
          <w:sz w:val="21"/>
        </w:rPr>
        <w:t>, IAB 10/11/17, effective 9/20/17]</w:t>
      </w:r>
    </w:p>
    <w:p>
      <w:pPr>
        <w:spacing w:before="0" w:after="0"/>
        <w:ind w:left="120"/>
        <w:jc w:val="center"/>
      </w:pPr>
      <w:r>
        <w:rPr>
          <w:rFonts w:ascii="Times New Roman" w:hAnsi="Times New Roman"/>
          <w:b w:val="false"/>
          <w:i w:val="false"/>
          <w:color w:val="000000"/>
          <w:sz w:val="21"/>
        </w:rPr>
        <w:t>[Filed ARC 4183C</w:t>
      </w:r>
      <w:r>
        <w:rPr>
          <w:rFonts w:ascii="Times New Roman" w:hAnsi="Times New Roman"/>
          <w:b w:val="false"/>
          <w:i w:val="false"/>
          <w:color w:val="000000"/>
          <w:sz w:val="21"/>
        </w:rPr>
        <w:t xml:space="preserve"> (Notice ARC 3938C, IAB 8/15/18)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4716C</w:t>
      </w:r>
      <w:r>
        <w:rPr>
          <w:rFonts w:ascii="Times New Roman" w:hAnsi="Times New Roman"/>
          <w:b w:val="false"/>
          <w:i w:val="false"/>
          <w:color w:val="000000"/>
          <w:sz w:val="21"/>
        </w:rPr>
        <w:t xml:space="preserve"> (Notice ARC 4588C,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5966C</w:t>
      </w:r>
      <w:r>
        <w:rPr>
          <w:rFonts w:ascii="Times New Roman" w:hAnsi="Times New Roman"/>
          <w:b w:val="false"/>
          <w:i w:val="false"/>
          <w:color w:val="000000"/>
          <w:sz w:val="21"/>
        </w:rPr>
        <w:t xml:space="preserve"> (Notice ARC 5854C,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8171C</w:t>
      </w:r>
      <w:r>
        <w:rPr>
          <w:rFonts w:ascii="Times New Roman" w:hAnsi="Times New Roman"/>
          <w:b w:val="false"/>
          <w:i w:val="false"/>
          <w:color w:val="000000"/>
          <w:sz w:val="21"/>
        </w:rPr>
        <w:t xml:space="preserve"> (Notice ARC 7851C,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pdf" Type="http://schemas.openxmlformats.org/officeDocument/2006/relationships/hyperlink" Id="rId4"/>
    <Relationship TargetMode="External" Target="https://www.legis.iowa.gov/docs/ico/chapter/256.pdf" Type="http://schemas.openxmlformats.org/officeDocument/2006/relationships/hyperlink" Id="rId5"/>
    <Relationship TargetMode="External" Target="https://www.legis.iowa.gov/docs/ico/chapter/256.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2.pdf" Type="http://schemas.openxmlformats.org/officeDocument/2006/relationships/hyperlink" Id="rId12"/>
    <Relationship TargetMode="External" Target="https://www.legis.iowa.gov/docs/iac/rule/283.10.2.pdf" Type="http://schemas.openxmlformats.org/officeDocument/2006/relationships/hyperlink" Id="rId13"/>
    <Relationship TargetMode="External" Target="https://www.legis.iowa.gov/docs/ico/chapter/259A.pdf" Type="http://schemas.openxmlformats.org/officeDocument/2006/relationships/hyperlink" Id="rId14"/>
    <Relationship TargetMode="External" Target="https://www.legis.iowa.gov/docs/iac/rule/283.10.3.pdf" Type="http://schemas.openxmlformats.org/officeDocument/2006/relationships/hyperlink" Id="rId15"/>
    <Relationship TargetMode="External" Target="https://www.legis.iowa.gov/docs/iac/rule/283.8.4.pdf" Type="http://schemas.openxmlformats.org/officeDocument/2006/relationships/hyperlink" Id="rId16"/>
    <Relationship TargetMode="External" Target="https://www.legis.iowa.gov/docs/ico/chapter/256.pdf" Type="http://schemas.openxmlformats.org/officeDocument/2006/relationships/hyperlink" Id="rId17"/>
    <Relationship TargetMode="External" Target="https://www.legis.iowa.gov/docs/iac/rule/283.8.3.pdf" Type="http://schemas.openxmlformats.org/officeDocument/2006/relationships/hyperlink" Id="rId18"/>
    <Relationship TargetMode="External" Target="https://www.legis.iowa.gov/docs/ico/chapter/25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