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IOWA TUITION GRANT PROGRAM—FOR-PROFIT INSTITUTIONS</w:t>
      </w:r>
    </w:p>
    <w:p>
      <w:pPr>
        <w:spacing w:before="0" w:after="0"/>
        <w:ind w:left="120"/>
        <w:jc w:val="both"/>
      </w:pPr>
      <w:r>
        <w:rPr>
          <w:rFonts w:ascii="Times New Roman" w:hAnsi="Times New Roman"/>
          <w:b/>
          <w:i w:val="false"/>
          <w:color w:val="000000"/>
          <w:sz w:val="22"/>
        </w:rPr>
        <w:t>283—11.1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for-profit Iowa tuition grant program is tuition-restricted and is also based on the financial metric and financial need of Iowa residents enrolled at for-profit eligible institutions.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 for-profit private institution that meets the criteria in Iowa Code section </w:t>
      </w:r>
      <w:hyperlink r:id="rId4">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283—11.5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postsecondary for-profit institution that has made a substantial investment in a permanent Iowa campus and staff and that offers a full range of courses leading to the credentials offered by the institution as well as a full range of student services.</w:t>
      </w:r>
    </w:p>
    <w:p>
      <w:pPr>
        <w:spacing w:before="0" w:after="0"/>
        <w:ind w:left="120"/>
        <w:jc w:val="both"/>
      </w:pP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a sequence of educational courses that prepares the student for licensure as a barber or a cosmetology arts and sciences program of study that prepares the student for licensure in the state of Iowa as provided in Iowa Code chapter </w:t>
      </w:r>
      <w:hyperlink r:id="rId11">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at least part-time in a program of study at an eligible institution, meets the award eligibility criteria, and meets the following provisions:</w:t>
      </w:r>
    </w:p>
    <w:p>
      <w:pPr>
        <w:numPr>
          <w:ilvl w:val="0"/>
          <w:numId w:val="3"/>
        </w:numPr>
        <w:spacing w:before="0" w:after="0"/>
        <w:jc w:val="both"/>
      </w:pPr>
      <w:r>
        <w:rPr>
          <w:rFonts w:ascii="Times New Roman" w:hAnsi="Times New Roman"/>
          <w:b w:val="false"/>
          <w:i w:val="false"/>
          <w:color w:val="000000"/>
          <w:sz w:val="22"/>
        </w:rPr>
        <w:t>Completes the applications the commission deems necessary on or before the date established by the commission.</w:t>
      </w:r>
    </w:p>
    <w:p>
      <w:pPr>
        <w:numPr>
          <w:ilvl w:val="0"/>
          <w:numId w:val="3"/>
        </w:numPr>
        <w:spacing w:before="0" w:after="0"/>
        <w:jc w:val="both"/>
      </w:pP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3">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four full-time awards.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maximum award for full-time students will not exceed the student’s financial need and will be the lesser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$3,000 per semester, or the equivalent, during the fall, spring and summer semesters.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award established by the commission that allows all eligible applicants to receive an award.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When awarded in combination with other tuition-restricted funds, the total amount of tuition-restricted funding including an Iowa tuition grant cannot exceed the total tuition and mandatory fees charged to the recipient.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Eligible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Eligible institutions will apply awards directly to student accounts to cover tuition and mandatory fees.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or financial situation, and promptly report those changes to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283—11.5</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 eligibility. </w:t>
      </w:r>
    </w:p>
    <w:p>
      <w:pPr>
        <w:spacing w:before="0" w:after="0"/>
        <w:ind w:left="120"/>
        <w:jc w:val="both"/>
      </w:pP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eligible institution that is located in Iowa may request participation in the Iowa tuition grant program using the commission’s designated application. The institution will meet the eligibility criteria in Iowa Code section </w:t>
      </w:r>
      <w:hyperlink r:id="rId14">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at the time the application is submitted.</w:t>
      </w:r>
    </w:p>
    <w:p>
      <w:pPr>
        <w:spacing w:before="0" w:after="0"/>
        <w:ind w:left="120"/>
        <w:jc w:val="both"/>
      </w:pP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Deadline to apply. </w:t>
      </w:r>
      <w:r>
        <w:rPr>
          <w:rFonts w:ascii="Times New Roman" w:hAnsi="Times New Roman"/>
          <w:b w:val="false"/>
          <w:i w:val="false"/>
          <w:color w:val="000000"/>
          <w:sz w:val="22"/>
        </w:rPr>
        <w:t>Eligible institutions seeking to participate in the Iowa tuition grant program will submit applications on or before October 1 of the year prior to the beginning of the academic year for which they are applying for participation.</w:t>
      </w:r>
    </w:p>
    <w:p>
      <w:pPr>
        <w:spacing w:before="0" w:after="0"/>
        <w:ind w:left="120"/>
        <w:jc w:val="both"/>
      </w:pP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 xml:space="preserve">An eligible institution that is participating in the Iowa tuition grant program will immediately notify the commission if its national accreditation is lost or if it will fail to meet the necessary institutional match. Failure to meet any provision in Iowa Code section </w:t>
      </w:r>
      <w:hyperlink r:id="rId15">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Iowa Code section </w:t>
      </w:r>
      <w:hyperlink r:id="rId16">
        <w:r>
          <w:rPr>
            <w:rStyle w:val="Hyperlink"/>
            <w:rFonts w:ascii="Times New Roman" w:hAnsi="Times New Roman"/>
            <w:b w:val="false"/>
            <w:i w:val="false"/>
            <w:color w:val="000000"/>
            <w:sz w:val="22"/>
          </w:rPr>
          <w:t>256.191</w:t>
        </w:r>
      </w:hyperlink>
      <w:r>
        <w:rPr>
          <w:rFonts w:ascii="Times New Roman" w:hAnsi="Times New Roman"/>
          <w:b w:val="false"/>
          <w:i w:val="false"/>
          <w:color w:val="000000"/>
          <w:sz w:val="22"/>
        </w:rPr>
        <w:t xml:space="preserve">, or this rule may result in the immediate cessation of the institution’s participation in the Iowa tuition grant and in the institution’s returning Iowa tuition grant funds to the commission. </w:t>
      </w:r>
    </w:p>
    <w:p>
      <w:pPr>
        <w:spacing w:before="0" w:after="0"/>
        <w:ind w:left="120"/>
        <w:jc w:val="both"/>
      </w:pP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Compliance audits.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7">
        <w:r>
          <w:rPr>
            <w:rStyle w:val="Hyperlink"/>
            <w:rFonts w:ascii="Times New Roman" w:hAnsi="Times New Roman"/>
            <w:b w:val="false"/>
            <w:i w:val="false"/>
            <w:color w:val="000000"/>
            <w:sz w:val="22"/>
          </w:rPr>
          <w:t>256.183(3)</w:t>
        </w:r>
      </w:hyperlink>
      <w:r>
        <w:rPr>
          <w:rFonts w:ascii="Times New Roman" w:hAnsi="Times New Roman"/>
          <w:b w:val="false"/>
          <w:i w:val="false"/>
          <w:color w:val="000000"/>
          <w:sz w:val="22"/>
        </w:rPr>
        <w:t xml:space="preserve">, Iowa Code section </w:t>
      </w:r>
      <w:hyperlink r:id="rId18">
        <w:r>
          <w:rPr>
            <w:rStyle w:val="Hyperlink"/>
            <w:rFonts w:ascii="Times New Roman" w:hAnsi="Times New Roman"/>
            <w:b w:val="false"/>
            <w:i w:val="false"/>
            <w:color w:val="000000"/>
            <w:sz w:val="22"/>
          </w:rPr>
          <w:t>256.191</w:t>
        </w:r>
      </w:hyperlink>
      <w:r>
        <w:rPr>
          <w:rFonts w:ascii="Times New Roman" w:hAnsi="Times New Roman"/>
          <w:b w:val="false"/>
          <w:i w:val="false"/>
          <w:color w:val="000000"/>
          <w:sz w:val="22"/>
        </w:rPr>
        <w:t xml:space="preserve">, and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8172C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3382C</w:t>
      </w:r>
      <w:r>
        <w:rPr>
          <w:rFonts w:ascii="Times New Roman" w:hAnsi="Times New Roman"/>
          <w:b w:val="false"/>
          <w:i w:val="false"/>
          <w:color w:val="000000"/>
          <w:sz w:val="21"/>
        </w:rPr>
        <w:t xml:space="preserve"> (Notice ARC 3126C, IAB 6/21/17)</w:t>
      </w:r>
      <w:r>
        <w:rPr>
          <w:rFonts w:ascii="Times New Roman" w:hAnsi="Times New Roman"/>
          <w:b w:val="false"/>
          <w:i w:val="false"/>
          <w:color w:val="000000"/>
          <w:sz w:val="21"/>
        </w:rPr>
        <w:t>, IAB 10/11/17, effective 9/20/17]</w:t>
      </w:r>
    </w:p>
    <w:p>
      <w:pPr>
        <w:spacing w:before="0" w:after="0"/>
        <w:ind w:left="120"/>
        <w:jc w:val="center"/>
      </w:pPr>
      <w:r>
        <w:rPr>
          <w:rFonts w:ascii="Times New Roman" w:hAnsi="Times New Roman"/>
          <w:b w:val="false"/>
          <w:i w:val="false"/>
          <w:color w:val="000000"/>
          <w:sz w:val="21"/>
        </w:rPr>
        <w:t>[Filed ARC 8172C</w:t>
      </w:r>
      <w:r>
        <w:rPr>
          <w:rFonts w:ascii="Times New Roman" w:hAnsi="Times New Roman"/>
          <w:b w:val="false"/>
          <w:i w:val="false"/>
          <w:color w:val="000000"/>
          <w:sz w:val="21"/>
        </w:rPr>
        <w:t xml:space="preserve"> (Notice ARC 7852C,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pdf" Type="http://schemas.openxmlformats.org/officeDocument/2006/relationships/hyperlink" Id="rId4"/>
    <Relationship TargetMode="External" Target="https://www.legis.iowa.gov/docs/iac/rule/283.11.5.pdf" Type="http://schemas.openxmlformats.org/officeDocument/2006/relationships/hyperlink" Id="rId5"/>
    <Relationship TargetMode="External" Target="https://www.legis.iowa.gov/docs/iac/rule/283.10.2.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co/chapter/157.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3.pdf" Type="http://schemas.openxmlformats.org/officeDocument/2006/relationships/hyperlink" Id="rId13"/>
    <Relationship TargetMode="External" Target="https://www.legis.iowa.gov/docs/ico/chapter/256.pdf" Type="http://schemas.openxmlformats.org/officeDocument/2006/relationships/hyperlink" Id="rId14"/>
    <Relationship TargetMode="External" Target="https://www.legis.iowa.gov/docs/ico/chapter/256.pdf" Type="http://schemas.openxmlformats.org/officeDocument/2006/relationships/hyperlink" Id="rId15"/>
    <Relationship TargetMode="External" Target="https://www.legis.iowa.gov/docs/ico/chapter/256.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co/chapter/256.pdf" Type="http://schemas.openxmlformats.org/officeDocument/2006/relationships/hyperlink" Id="rId18"/>
    <Relationship TargetMode="External" Target="https://www.legis.iowa.gov/docs/ico/chapter/25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