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PRACTICE AND PROCEDURE</w:t>
      </w:r>
    </w:p>
    <w:p>
      <w:pPr>
        <w:spacing w:before="0" w:after="0"/>
        <w:ind w:left="120"/>
        <w:jc w:val="center"/>
      </w:pPr>
      <w:r>
        <w:rPr>
          <w:rFonts w:ascii="Times New Roman" w:hAnsi="Times New Roman"/>
          <w:b w:val="false"/>
          <w:i w:val="false"/>
          <w:color w:val="000000"/>
          <w:sz w:val="14"/>
        </w:rPr>
        <w:t>[Previously ch 15, renumbered 10/20/75 Supp.]</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199—7.1</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Scope and applicability. </w:t>
      </w:r>
    </w:p>
    <w:p>
      <w:pPr>
        <w:spacing w:before="0" w:after="0"/>
        <w:ind w:left="120"/>
        <w:jc w:val="both"/>
      </w:pP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contested case proceedings, investigations, and other proceedings conducted by the commission or a presiding officer, unless the proceedings have specific procedures established in commission rules. If there are no other applicable procedural rules, this chapter applies to other types of agency action, unless the commission or presiding officer orders otherwise. The rules in this chapter regarding the content and format of pleadings, testimony, workpapers, and other supporting documents apply to both paper filings and electronic filings made pursuant to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rules in this chapter regarding filing, service, and number of copies required apply to paper filings. Electronically filed documents shall be filed and served according to </w:t>
      </w:r>
      <w:hyperlink r:id="rId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The commission has established additional procedural requirements in other chapters as described in </w:t>
      </w:r>
      <w:hyperlink r:id="rId6">
        <w:r>
          <w:rPr>
            <w:rStyle w:val="Hyperlink"/>
            <w:rFonts w:ascii="Times New Roman" w:hAnsi="Times New Roman"/>
            <w:b w:val="false"/>
            <w:i w:val="false"/>
            <w:color w:val="000000"/>
            <w:sz w:val="22"/>
          </w:rPr>
          <w:t>subrules 7.1(2) through 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applicable only to rate cases, tariff filings, and rate regulation election by rural electric cooperatives are contained in </w:t>
      </w:r>
      <w:hyperlink r:id="rId7">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inquiry dockets and investigations. The commission may issue a notice of inquiry or open an investigation and establish a docket through which the inquiry or investigation can be processed. The procedural rules in this chapter shall apply to these dockets, unless otherwise ordered by the commission or presiding officer. </w:t>
      </w:r>
    </w:p>
    <w:p>
      <w:pPr>
        <w:spacing w:before="0" w:after="0"/>
        <w:ind w:left="120"/>
        <w:jc w:val="both"/>
      </w:pP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 xml:space="preserve">Reorganizations. Procedural rules applicable to reorganizations are included in </w:t>
      </w:r>
      <w:hyperlink r:id="rId8">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In the event the requirements in </w:t>
      </w:r>
      <w:hyperlink r:id="rId9">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conflict with the requirements in this chapter, the </w:t>
      </w:r>
      <w:hyperlink r:id="rId10">
        <w:r>
          <w:rPr>
            <w:rStyle w:val="Hyperlink"/>
            <w:rFonts w:ascii="Times New Roman" w:hAnsi="Times New Roman"/>
            <w:b w:val="false"/>
            <w:i w:val="false"/>
            <w:color w:val="000000"/>
            <w:sz w:val="22"/>
          </w:rPr>
          <w:t>199—32.9(476)</w:t>
        </w:r>
      </w:hyperlink>
      <w:r>
        <w:rPr>
          <w:rFonts w:ascii="Times New Roman" w:hAnsi="Times New Roman"/>
          <w:b w:val="false"/>
          <w:i w:val="false"/>
          <w:color w:val="000000"/>
          <w:sz w:val="22"/>
        </w:rPr>
        <w:t xml:space="preserve"> requirements are controlling.</w:t>
      </w:r>
    </w:p>
    <w:p>
      <w:pPr>
        <w:spacing w:before="0" w:after="0"/>
        <w:ind w:left="120"/>
        <w:jc w:val="both"/>
      </w:pP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Discontinuance of service incident to utility property transfer. This subrule does not apply to telecommunications service providers registered with the commission pursuant to Iowa Code section </w:t>
      </w:r>
      <w:hyperlink r:id="rId11">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applies to discontinuance of utility service pursuant to Iowa Code section </w:t>
      </w:r>
      <w:hyperlink r:id="rId12">
        <w:r>
          <w:rPr>
            <w:rStyle w:val="Hyperlink"/>
            <w:rFonts w:ascii="Times New Roman" w:hAnsi="Times New Roman"/>
            <w:b w:val="false"/>
            <w:i w:val="false"/>
            <w:color w:val="000000"/>
            <w:sz w:val="22"/>
          </w:rPr>
          <w:t>476.20(1)</w:t>
        </w:r>
      </w:hyperlink>
      <w:r>
        <w:rPr>
          <w:rFonts w:ascii="Times New Roman" w:hAnsi="Times New Roman"/>
          <w:b w:val="false"/>
          <w:i w:val="false"/>
          <w:color w:val="000000"/>
          <w:sz w:val="22"/>
        </w:rPr>
        <w:t xml:space="preserve">, which includes the termination or transfer of the right and duty to provide utility service to a community or part of a community incident to the transfer, by sale or otherwise, except a stock transfer incident to corporate reorganization. This rule does not limit rights or obligations created by other applicable statutes or rules.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Application. </w:t>
      </w:r>
      <w:r>
        <w:rPr>
          <w:rFonts w:ascii="Times New Roman" w:hAnsi="Times New Roman"/>
          <w:b w:val="false"/>
          <w:i w:val="false"/>
          <w:color w:val="000000"/>
          <w:sz w:val="22"/>
        </w:rPr>
        <w:t>A public utility shall obtain commission approval prior to discontinuance of utility service. The public utility shall file an application for permission to discontinue service that includes a summary of the relevant facts and the grounds upon which the application should be granted. When the discontinuance of service is incident to the transfer of utility property, the transferor utility and the transferee shall file a joint application.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Approval. </w:t>
      </w:r>
      <w:r>
        <w:rPr>
          <w:rFonts w:ascii="Times New Roman" w:hAnsi="Times New Roman"/>
          <w:b w:val="false"/>
          <w:i w:val="false"/>
          <w:color w:val="000000"/>
          <w:sz w:val="22"/>
        </w:rPr>
        <w:t>Within 30 days after an application is filed, the commission shall approve the application or docket the application for further investigation. Failure to act on the application within 30 days will be deemed approval of the application.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Contested cases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shall be completed within four months after date of docketing.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Criteria. </w:t>
      </w:r>
      <w:r>
        <w:rPr>
          <w:rFonts w:ascii="Times New Roman" w:hAnsi="Times New Roman"/>
          <w:b w:val="false"/>
          <w:i w:val="false"/>
          <w:color w:val="000000"/>
          <w:sz w:val="22"/>
        </w:rPr>
        <w:t>The application will be granted if the commission finds the utility service is no longer necessary, or if the commission finds the transferee is ready, willing, and able to provide comparable utility service.</w:t>
      </w:r>
    </w:p>
    <w:p>
      <w:pPr>
        <w:spacing w:before="0" w:after="0"/>
        <w:ind w:left="120"/>
        <w:jc w:val="both"/>
      </w:pP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these rules is to facilitate the transaction of business before the commission and to promote the just resolution of controversies. Consistent with this purpose, the application of any of these rules, unless otherwise required by law, may be waived by the commission or presiding officer pursuant to </w:t>
      </w:r>
      <w:hyperlink r:id="rId13">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w:t>
      </w:r>
    </w:p>
    <w:p>
      <w:pPr>
        <w:spacing w:before="0" w:after="0"/>
        <w:ind w:left="120"/>
        <w:jc w:val="both"/>
      </w:pPr>
      <w:r>
        <w:rPr>
          <w:rFonts w:ascii="Times New Roman" w:hAnsi="Times New Roman"/>
          <w:b/>
          <w:i w:val="false"/>
          <w:color w:val="000000"/>
          <w:sz w:val="22"/>
        </w:rPr>
        <w:t>7.1(7)</w:t>
      </w:r>
      <w:r>
        <w:rPr>
          <w:rFonts w:ascii="Times New Roman" w:hAnsi="Times New Roman"/>
          <w:b w:val="false"/>
          <w:i w:val="false"/>
          <w:color w:val="000000"/>
          <w:sz w:val="22"/>
        </w:rPr>
        <w:t> </w:t>
      </w:r>
      <w:r>
        <w:rPr>
          <w:rFonts w:ascii="Times New Roman" w:hAnsi="Times New Roman"/>
          <w:b w:val="false"/>
          <w:i w:val="false"/>
          <w:color w:val="000000"/>
          <w:sz w:val="22"/>
        </w:rPr>
        <w:t>Procedural orders.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Authority to issue procedural orders in all proceedings, including contested case proceedings, investigations, and all other dockets and matters before the commission when a majority of the commission is not available due to emergency, or for the efficient and reasonable conduct of proceedings, is granted to a single commission member. If no member of the commission is available to issue a procedural order due to emergency, or for the efficient and reasonable conduct of proceedings, the procedural order may be issued by a presiding officer designated by the commission. If a presiding officer is not available to issue a procedural order due to an emergency, or for the efficient and reasonable conduct of proceedings, a procedural order may be issued by the general counsel of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Procedural orders under this subrule shall be issued only upon the showing of good cause and when the prejudice to a nonmoving party is not great. The procedural order under this subrule shall state that it is issued pursuant to the delegation authority established in </w:t>
      </w:r>
      <w:hyperlink r:id="rId14">
        <w:r>
          <w:rPr>
            <w:rStyle w:val="Hyperlink"/>
            <w:rFonts w:ascii="Times New Roman" w:hAnsi="Times New Roman"/>
            <w:b w:val="false"/>
            <w:i w:val="false"/>
            <w:color w:val="000000"/>
            <w:sz w:val="22"/>
          </w:rPr>
          <w:t>subrule 7.1(7)</w:t>
        </w:r>
      </w:hyperlink>
      <w:r>
        <w:rPr>
          <w:rFonts w:ascii="Times New Roman" w:hAnsi="Times New Roman"/>
          <w:b w:val="false"/>
          <w:i w:val="false"/>
          <w:color w:val="000000"/>
          <w:sz w:val="22"/>
        </w:rPr>
        <w:t xml:space="preserve"> and that the procedural order so issued is subject to review by the commission upon its own motion or upon motion by any party or other interested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w:t>
      </w:r>
      <w:r>
        <w:rPr>
          <w:rFonts w:ascii="Times New Roman" w:hAnsi="Times New Roman"/>
          <w:b/>
          <w:i w:val="false"/>
          <w:color w:val="000000"/>
          <w:sz w:val="22"/>
        </w:rPr>
        <w:t xml:space="preserve">(17A,476)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 or a majority thereof.</w:t>
      </w:r>
    </w:p>
    <w:p>
      <w:pPr>
        <w:spacing w:before="0" w:after="0"/>
        <w:ind w:left="120"/>
        <w:jc w:val="both"/>
      </w:pPr>
      <w:r>
        <w:rPr>
          <w:rFonts w:ascii="Times New Roman" w:hAnsi="Times New Roman"/>
          <w:b w:val="false"/>
          <w:i/>
          <w:color w:val="000000"/>
          <w:sz w:val="22"/>
        </w:rPr>
        <w:t xml:space="preserve">“Complainants” </w:t>
      </w:r>
      <w:r>
        <w:rPr>
          <w:rFonts w:ascii="Times New Roman" w:hAnsi="Times New Roman"/>
          <w:b w:val="false"/>
          <w:i w:val="false"/>
          <w:color w:val="000000"/>
          <w:sz w:val="22"/>
        </w:rPr>
        <w:t xml:space="preserve">are persons who complain to the commission of any act or thing done or omitted to be done in violation, or claimed to be in violation, of any provision of Iowa Code chapters </w:t>
      </w:r>
      <w:hyperlink r:id="rId1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or of any order or rule of the commission.</w:t>
      </w:r>
    </w:p>
    <w:p>
      <w:pPr>
        <w:spacing w:before="0" w:after="0"/>
        <w:ind w:left="120"/>
        <w:jc w:val="both"/>
      </w:pPr>
      <w:r>
        <w:rPr>
          <w:rFonts w:ascii="Times New Roman" w:hAnsi="Times New Roman"/>
          <w:b w:val="false"/>
          <w:i/>
          <w:color w:val="000000"/>
          <w:sz w:val="22"/>
        </w:rPr>
        <w:t xml:space="preserve">“Consumer advocate” </w:t>
      </w:r>
      <w:r>
        <w:rPr>
          <w:rFonts w:ascii="Times New Roman" w:hAnsi="Times New Roman"/>
          <w:b w:val="false"/>
          <w:i w:val="false"/>
          <w:color w:val="000000"/>
          <w:sz w:val="22"/>
        </w:rPr>
        <w:t xml:space="preserve">means the office of consumer advocate, a division of the Iowa department of justice, referred to in Iowa Code chapter </w:t>
      </w:r>
      <w:hyperlink r:id="rId17">
        <w:r>
          <w:rPr>
            <w:rStyle w:val="Hyperlink"/>
            <w:rFonts w:ascii="Times New Roman" w:hAnsi="Times New Roman"/>
            <w:b w:val="false"/>
            <w:i w:val="false"/>
            <w:color w:val="000000"/>
            <w:sz w:val="22"/>
          </w:rPr>
          <w:t>475A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18">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19">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“Data request” </w:t>
      </w:r>
      <w:r>
        <w:rPr>
          <w:rFonts w:ascii="Times New Roman" w:hAnsi="Times New Roman"/>
          <w:b w:val="false"/>
          <w:i w:val="false"/>
          <w:color w:val="000000"/>
          <w:sz w:val="22"/>
        </w:rPr>
        <w:t>means a discovery procedure in which the requesting party asks another person for specified information or requests the production of documents.</w:t>
      </w:r>
    </w:p>
    <w:p>
      <w:pPr>
        <w:spacing w:before="0" w:after="0"/>
        <w:ind w:left="120"/>
        <w:jc w:val="both"/>
      </w:pPr>
      <w:r>
        <w:rPr>
          <w:rFonts w:ascii="Times New Roman" w:hAnsi="Times New Roman"/>
          <w:b w:val="false"/>
          <w:i/>
          <w:color w:val="000000"/>
          <w:sz w:val="22"/>
        </w:rPr>
        <w:t xml:space="preserve">“Expedited proceeding” </w:t>
      </w:r>
      <w:r>
        <w:rPr>
          <w:rFonts w:ascii="Times New Roman" w:hAnsi="Times New Roman"/>
          <w:b w:val="false"/>
          <w:i w:val="false"/>
          <w:color w:val="000000"/>
          <w:sz w:val="22"/>
        </w:rPr>
        <w:t>means a proceeding before the commission in which a statutory or other provision of law requires the commission to render a decision in the proceeding in six months or less.</w:t>
      </w:r>
    </w:p>
    <w:p>
      <w:pPr>
        <w:spacing w:before="0" w:after="0"/>
        <w:ind w:left="120"/>
        <w:jc w:val="both"/>
      </w:pPr>
      <w:r>
        <w:rPr>
          <w:rFonts w:ascii="Times New Roman" w:hAnsi="Times New Roman"/>
          <w:b w:val="false"/>
          <w:i/>
          <w:color w:val="000000"/>
          <w:sz w:val="22"/>
        </w:rPr>
        <w:t xml:space="preserve">“Filed” </w:t>
      </w:r>
      <w:r>
        <w:rPr>
          <w:rFonts w:ascii="Times New Roman" w:hAnsi="Times New Roman"/>
          <w:b w:val="false"/>
          <w:i w:val="false"/>
          <w:color w:val="000000"/>
          <w:sz w:val="22"/>
        </w:rPr>
        <w:t xml:space="preserve">means accepted for filing by the commission as defined in rule </w:t>
      </w:r>
      <w:hyperlink r:id="rId20">
        <w:r>
          <w:rPr>
            <w:rStyle w:val="Hyperlink"/>
            <w:rFonts w:ascii="Times New Roman" w:hAnsi="Times New Roman"/>
            <w:b w:val="false"/>
            <w:i w:val="false"/>
            <w:color w:val="000000"/>
            <w:sz w:val="22"/>
          </w:rPr>
          <w:t>199—14.3(17A,476)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“Intervenor” </w:t>
      </w:r>
      <w:r>
        <w:rPr>
          <w:rFonts w:ascii="Times New Roman" w:hAnsi="Times New Roman"/>
          <w:b w:val="false"/>
          <w:i w:val="false"/>
          <w:color w:val="000000"/>
          <w:sz w:val="22"/>
        </w:rPr>
        <w:t>means any person who, upon written petition, is permitted to intervene as a party in a specific proceeding before the commission.</w:t>
      </w:r>
    </w:p>
    <w:p>
      <w:pPr>
        <w:spacing w:before="0" w:after="0"/>
        <w:ind w:left="120"/>
        <w:jc w:val="both"/>
      </w:pP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on which an order is uploaded into the commission’s electronic filing system.</w:t>
      </w:r>
    </w:p>
    <w:p>
      <w:pPr>
        <w:spacing w:before="0" w:after="0"/>
        <w:ind w:left="120"/>
        <w:jc w:val="both"/>
      </w:pP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named or admitted as a party in a proceeding before the commission.</w:t>
      </w:r>
    </w:p>
    <w:p>
      <w:pPr>
        <w:spacing w:before="0" w:after="0"/>
        <w:ind w:left="120"/>
        <w:jc w:val="both"/>
      </w:pP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as defined in Iowa Code section </w:t>
      </w:r>
      <w:hyperlink r:id="rId21">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and includes individuals and all forms of legal entities.</w:t>
      </w:r>
    </w:p>
    <w:p>
      <w:pPr>
        <w:spacing w:before="0" w:after="0"/>
        <w:ind w:left="120"/>
        <w:jc w:val="both"/>
      </w:pP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party who, by written petition, application, or other filing, applies for or seeks relief from the commission.</w:t>
      </w:r>
    </w:p>
    <w:p>
      <w:pPr>
        <w:spacing w:before="0" w:after="0"/>
        <w:ind w:left="120"/>
        <w:jc w:val="both"/>
      </w:pP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one commission member or another person designated by the commission with the authority to preside over a particular proceeding.</w:t>
      </w:r>
    </w:p>
    <w:p>
      <w:pPr>
        <w:spacing w:before="0" w:after="0"/>
        <w:ind w:left="120"/>
        <w:jc w:val="both"/>
      </w:pP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proceeding that has been assigned by the commission to the presiding officer.</w:t>
      </w:r>
    </w:p>
    <w:p>
      <w:pPr>
        <w:spacing w:before="0" w:after="0"/>
        <w:ind w:left="120"/>
        <w:jc w:val="both"/>
      </w:pP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means service as prescribed in </w:t>
      </w:r>
      <w:hyperlink r:id="rId22">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199—7.3</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Presiding officers. </w:t>
      </w:r>
      <w:r>
        <w:rPr>
          <w:rFonts w:ascii="Times New Roman" w:hAnsi="Times New Roman"/>
          <w:b w:val="false"/>
          <w:i w:val="false"/>
          <w:color w:val="000000"/>
          <w:sz w:val="22"/>
        </w:rPr>
        <w:t>Presiding officers may be designated by the commission to preside over contested cases or other proceedings and conduct hearings and shall have the following authority, unless otherwise ordered by the commission:</w:t>
      </w:r>
    </w:p>
    <w:p>
      <w:pPr>
        <w:numPr>
          <w:ilvl w:val="0"/>
          <w:numId w:val="3"/>
        </w:numPr>
        <w:spacing w:before="0" w:after="0"/>
        <w:jc w:val="both"/>
      </w:pPr>
      <w:r>
        <w:rPr>
          <w:rFonts w:ascii="Times New Roman" w:hAnsi="Times New Roman"/>
          <w:b w:val="false"/>
          <w:i w:val="false"/>
          <w:color w:val="000000"/>
          <w:sz w:val="22"/>
        </w:rPr>
        <w:t>To regulate the course of hearings;</w:t>
      </w:r>
    </w:p>
    <w:p>
      <w:pPr>
        <w:numPr>
          <w:ilvl w:val="0"/>
          <w:numId w:val="3"/>
        </w:numPr>
        <w:spacing w:before="0" w:after="0"/>
        <w:jc w:val="both"/>
      </w:pPr>
      <w:r>
        <w:rPr>
          <w:rFonts w:ascii="Times New Roman" w:hAnsi="Times New Roman"/>
          <w:b w:val="false"/>
          <w:i w:val="false"/>
          <w:color w:val="000000"/>
          <w:sz w:val="22"/>
        </w:rPr>
        <w:t>To administer oaths and affirmations;</w:t>
      </w:r>
    </w:p>
    <w:p>
      <w:pPr>
        <w:numPr>
          <w:ilvl w:val="0"/>
          <w:numId w:val="3"/>
        </w:numPr>
        <w:spacing w:before="0" w:after="0"/>
        <w:jc w:val="both"/>
      </w:pPr>
      <w:r>
        <w:rPr>
          <w:rFonts w:ascii="Times New Roman" w:hAnsi="Times New Roman"/>
          <w:b w:val="false"/>
          <w:i w:val="false"/>
          <w:color w:val="000000"/>
          <w:sz w:val="22"/>
        </w:rPr>
        <w:t>To rule upon the admissibility of evidence and offers of proof;</w:t>
      </w:r>
    </w:p>
    <w:p>
      <w:pPr>
        <w:numPr>
          <w:ilvl w:val="0"/>
          <w:numId w:val="3"/>
        </w:numPr>
        <w:spacing w:before="0" w:after="0"/>
        <w:jc w:val="both"/>
      </w:pPr>
      <w:r>
        <w:rPr>
          <w:rFonts w:ascii="Times New Roman" w:hAnsi="Times New Roman"/>
          <w:b w:val="false"/>
          <w:i w:val="false"/>
          <w:color w:val="000000"/>
          <w:sz w:val="22"/>
        </w:rPr>
        <w:t>To take or cause depositions to be taken;</w:t>
      </w:r>
    </w:p>
    <w:p>
      <w:pPr>
        <w:numPr>
          <w:ilvl w:val="0"/>
          <w:numId w:val="3"/>
        </w:numPr>
        <w:spacing w:before="0" w:after="0"/>
        <w:jc w:val="both"/>
      </w:pPr>
      <w:r>
        <w:rPr>
          <w:rFonts w:ascii="Times New Roman" w:hAnsi="Times New Roman"/>
          <w:b w:val="false"/>
          <w:i w:val="false"/>
          <w:color w:val="000000"/>
          <w:sz w:val="22"/>
        </w:rPr>
        <w:t>To dispose of procedural matters, discovery disputes, motions to dismiss, and other motions which may involve final determination of proceedings, subject to review by the commission on its own motion or upon application by any party;</w:t>
      </w:r>
    </w:p>
    <w:p>
      <w:pPr>
        <w:numPr>
          <w:ilvl w:val="0"/>
          <w:numId w:val="3"/>
        </w:numPr>
        <w:spacing w:before="0" w:after="0"/>
        <w:jc w:val="both"/>
      </w:pPr>
      <w:r>
        <w:rPr>
          <w:rFonts w:ascii="Times New Roman" w:hAnsi="Times New Roman"/>
          <w:b w:val="false"/>
          <w:i w:val="false"/>
          <w:color w:val="000000"/>
          <w:sz w:val="22"/>
        </w:rPr>
        <w:t>To certify any question to the commission, in the discretion of the presiding officer or upon direction of the commission;</w:t>
      </w:r>
    </w:p>
    <w:p>
      <w:pPr>
        <w:numPr>
          <w:ilvl w:val="0"/>
          <w:numId w:val="3"/>
        </w:numPr>
        <w:spacing w:before="0" w:after="0"/>
        <w:jc w:val="both"/>
      </w:pPr>
      <w:r>
        <w:rPr>
          <w:rFonts w:ascii="Times New Roman" w:hAnsi="Times New Roman"/>
          <w:b w:val="false"/>
          <w:i w:val="false"/>
          <w:color w:val="000000"/>
          <w:sz w:val="22"/>
        </w:rPr>
        <w:t>To permit and schedule the filing of written briefs;</w:t>
      </w:r>
    </w:p>
    <w:p>
      <w:pPr>
        <w:numPr>
          <w:ilvl w:val="0"/>
          <w:numId w:val="3"/>
        </w:numPr>
        <w:spacing w:before="0" w:after="0"/>
        <w:jc w:val="both"/>
      </w:pPr>
      <w:r>
        <w:rPr>
          <w:rFonts w:ascii="Times New Roman" w:hAnsi="Times New Roman"/>
          <w:b w:val="false"/>
          <w:i w:val="false"/>
          <w:color w:val="000000"/>
          <w:sz w:val="22"/>
        </w:rPr>
        <w:t>To hold appropriate conferences before, during, or after hearings;</w:t>
      </w:r>
    </w:p>
    <w:p>
      <w:pPr>
        <w:numPr>
          <w:ilvl w:val="0"/>
          <w:numId w:val="3"/>
        </w:numPr>
        <w:spacing w:before="0" w:after="0"/>
        <w:jc w:val="both"/>
      </w:pPr>
      <w:r>
        <w:rPr>
          <w:rFonts w:ascii="Times New Roman" w:hAnsi="Times New Roman"/>
          <w:b w:val="false"/>
          <w:i w:val="false"/>
          <w:color w:val="000000"/>
          <w:sz w:val="22"/>
        </w:rPr>
        <w:t>To render a proposed decision and order in a contested case proceeding, or other proceeding, subject to review by the commission on its own motion or upon appeal by any party; and</w:t>
      </w:r>
    </w:p>
    <w:p>
      <w:pPr>
        <w:numPr>
          <w:ilvl w:val="0"/>
          <w:numId w:val="3"/>
        </w:numPr>
        <w:spacing w:before="0" w:after="0"/>
        <w:jc w:val="both"/>
      </w:pPr>
      <w:r>
        <w:rPr>
          <w:rFonts w:ascii="Times New Roman" w:hAnsi="Times New Roman"/>
          <w:b w:val="false"/>
          <w:i w:val="false"/>
          <w:color w:val="000000"/>
          <w:sz w:val="22"/>
        </w:rPr>
        <w:t>To take any other action necessary or appropriate to the discharge of duties vested in the presiding officer, consistent with law and with the rules and orders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199—7.4</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All orders shall be issued and uploaded into the commission’s electronic filing system. Orders shall be deemed effective upon acceptance into the electronic filing system, unless otherwise provided in the order. Orders and other filings in dockets may be viewed in the specific docket accessed through the commission’s electronic filing system.</w:t>
      </w:r>
    </w:p>
    <w:p>
      <w:pPr>
        <w:spacing w:before="0" w:after="0"/>
        <w:ind w:left="120"/>
        <w:jc w:val="both"/>
      </w:pP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Electronic communications. </w:t>
      </w:r>
      <w:r>
        <w:rPr>
          <w:rFonts w:ascii="Times New Roman" w:hAnsi="Times New Roman"/>
          <w:b w:val="false"/>
          <w:i w:val="false"/>
          <w:color w:val="000000"/>
          <w:sz w:val="22"/>
        </w:rPr>
        <w:t xml:space="preserve">Pleadings and other documents required to be electronically filed with the commission shall be filed within the time limit, if any, for such filing, in accordance with the commission’s electronic filing rules at </w:t>
      </w:r>
      <w:hyperlink r:id="rId2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Unless otherwise specifically provided, all electronic communications and documents are officially filed when they are accepted for filing as defined in </w:t>
      </w:r>
      <w:hyperlink r:id="rId24">
        <w:r>
          <w:rPr>
            <w:rStyle w:val="Hyperlink"/>
            <w:rFonts w:ascii="Times New Roman" w:hAnsi="Times New Roman"/>
            <w:b w:val="false"/>
            <w:i w:val="false"/>
            <w:color w:val="000000"/>
            <w:sz w:val="22"/>
          </w:rPr>
          <w:t>199―14.3</w:t>
        </w:r>
      </w:hyperlink>
      <w:r>
        <w:rPr>
          <w:rFonts w:ascii="Times New Roman" w:hAnsi="Times New Roman"/>
          <w:b w:val="false"/>
          <w:i w:val="false"/>
          <w:color w:val="000000"/>
          <w:sz w:val="22"/>
        </w:rPr>
        <w:t xml:space="preserve">(17A,476). Persons electronically filing a document with the commission must comply with the service requirements in </w:t>
      </w:r>
      <w:hyperlink r:id="rId25">
        <w:r>
          <w:rPr>
            <w:rStyle w:val="Hyperlink"/>
            <w:rFonts w:ascii="Times New Roman" w:hAnsi="Times New Roman"/>
            <w:b w:val="false"/>
            <w:i w:val="false"/>
            <w:color w:val="000000"/>
            <w:sz w:val="22"/>
          </w:rPr>
          <w:t>199—14.16</w:t>
        </w:r>
      </w:hyperlink>
      <w:r>
        <w:rPr>
          <w:rFonts w:ascii="Times New Roman" w:hAnsi="Times New Roman"/>
          <w:b w:val="false"/>
          <w:i w:val="false"/>
          <w:color w:val="000000"/>
          <w:sz w:val="22"/>
        </w:rPr>
        <w:t>(17A,476).</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Paper filings. </w:t>
      </w:r>
      <w:r>
        <w:rPr>
          <w:rFonts w:ascii="Times New Roman" w:hAnsi="Times New Roman"/>
          <w:b w:val="false"/>
          <w:i w:val="false"/>
          <w:color w:val="000000"/>
          <w:sz w:val="22"/>
        </w:rPr>
        <w:t xml:space="preserve">Paper filings may only be made with commission approval, except for filings made pursuant to the exceptions in rule </w:t>
      </w:r>
      <w:hyperlink r:id="rId26">
        <w:r>
          <w:rPr>
            <w:rStyle w:val="Hyperlink"/>
            <w:rFonts w:ascii="Times New Roman" w:hAnsi="Times New Roman"/>
            <w:b w:val="false"/>
            <w:i w:val="false"/>
            <w:color w:val="000000"/>
            <w:sz w:val="22"/>
          </w:rPr>
          <w:t>199—14.4</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Reference to docket number. </w:t>
      </w:r>
      <w:r>
        <w:rPr>
          <w:rFonts w:ascii="Times New Roman" w:hAnsi="Times New Roman"/>
          <w:b w:val="false"/>
          <w:i w:val="false"/>
          <w:color w:val="000000"/>
          <w:sz w:val="22"/>
        </w:rPr>
        <w:t>All filings made in any proceeding after the proceeding has been docketed by the commission shall include on the first page a reference to the applicable docket number(s).</w:t>
      </w:r>
    </w:p>
    <w:p>
      <w:pPr>
        <w:spacing w:before="0" w:after="0"/>
        <w:ind w:left="120"/>
        <w:jc w:val="both"/>
      </w:pP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Number of copies.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Rule </w:t>
      </w:r>
      <w:hyperlink r:id="rId27">
        <w:r>
          <w:rPr>
            <w:rStyle w:val="Hyperlink"/>
            <w:rFonts w:ascii="Times New Roman" w:hAnsi="Times New Roman"/>
            <w:b w:val="false"/>
            <w:i w:val="false"/>
            <w:color w:val="000000"/>
            <w:sz w:val="22"/>
          </w:rPr>
          <w:t>199—7.23(17A,476)</w:t>
        </w:r>
      </w:hyperlink>
      <w:r>
        <w:rPr>
          <w:rFonts w:ascii="Times New Roman" w:hAnsi="Times New Roman"/>
          <w:b w:val="false"/>
          <w:i w:val="false"/>
          <w:color w:val="000000"/>
          <w:sz w:val="22"/>
        </w:rPr>
        <w:t xml:space="preserve"> contains requirements regarding the required number of copies for evidence introduced at hearing.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199—Chapter 26</w:t>
        </w:r>
      </w:hyperlink>
      <w:r>
        <w:rPr>
          <w:rFonts w:ascii="Times New Roman" w:hAnsi="Times New Roman"/>
          <w:b w:val="false"/>
          <w:i w:val="false"/>
          <w:color w:val="000000"/>
          <w:sz w:val="22"/>
        </w:rPr>
        <w:t>contains additional requirements regarding the number of paper copies of minimum filing requirements required to be filed in rate and tariff proceedings.</w:t>
      </w:r>
    </w:p>
    <w:p>
      <w:pPr>
        <w:spacing w:before="0" w:after="0"/>
        <w:ind w:left="120"/>
        <w:jc w:val="both"/>
      </w:pP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Defective filings. </w:t>
      </w:r>
      <w:r>
        <w:rPr>
          <w:rFonts w:ascii="Times New Roman" w:hAnsi="Times New Roman"/>
          <w:b w:val="false"/>
          <w:i w:val="false"/>
          <w:color w:val="000000"/>
          <w:sz w:val="22"/>
        </w:rPr>
        <w:t xml:space="preserve">Only applications, pleadings, documents, testimony, and other submissions that conform to the requirements of an applicable rule, statute, or order of the commission or presiding officer will be accepted for filing. Applications, pleadings, documents, testimony, and other submissions that fail to substantially conform with applicable requirements will be considered defective and may be rejected unless waiver of the relevant requirement has been granted by the commission or presiding officer prior to filing. The commission or presiding officer may reject a filing even though commission employees have file-stamped or otherwise acknowledged receipt of the filing. </w:t>
      </w:r>
    </w:p>
    <w:p>
      <w:pPr>
        <w:spacing w:before="0" w:after="0"/>
        <w:ind w:left="120"/>
        <w:jc w:val="both"/>
      </w:pP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Service of documents.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Method of service.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Paper service. Paper service of filings is only required on those parties, or persons, whom the commission has approved to receive paper service. All filings required to be served in paper shall also be served on the consumer advocate. All filings served by paper shall be filed electronically pursuant to rule </w:t>
      </w:r>
      <w:hyperlink r:id="rId29">
        <w:r>
          <w:rPr>
            <w:rStyle w:val="Hyperlink"/>
            <w:rFonts w:ascii="Times New Roman" w:hAnsi="Times New Roman"/>
            <w:b w:val="false"/>
            <w:i w:val="false"/>
            <w:color w:val="000000"/>
            <w:sz w:val="22"/>
          </w:rPr>
          <w:t>199—14.16</w:t>
        </w:r>
      </w:hyperlink>
      <w:r>
        <w:rPr>
          <w:rFonts w:ascii="Times New Roman" w:hAnsi="Times New Roman"/>
          <w:b w:val="false"/>
          <w:i w:val="false"/>
          <w:color w:val="000000"/>
          <w:sz w:val="22"/>
        </w:rPr>
        <w:t>(17A,476) in the appropriate docket in the electronic filing system and shall include a certificate of service.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Electronic service. The commission’s rule regarding electronic service is at </w:t>
      </w:r>
      <w:hyperlink r:id="rId30">
        <w:r>
          <w:rPr>
            <w:rStyle w:val="Hyperlink"/>
            <w:rFonts w:ascii="Times New Roman" w:hAnsi="Times New Roman"/>
            <w:b w:val="false"/>
            <w:i w:val="false"/>
            <w:color w:val="000000"/>
            <w:sz w:val="22"/>
          </w:rPr>
          <w:t>199—14.16</w:t>
        </w:r>
      </w:hyperlink>
      <w:r>
        <w:rPr>
          <w:rFonts w:ascii="Times New Roman" w:hAnsi="Times New Roman"/>
          <w:b w:val="false"/>
          <w:i w:val="false"/>
          <w:color w:val="000000"/>
          <w:sz w:val="22"/>
        </w:rPr>
        <w:t>(17A,476).</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Date of service.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Paper service. Unless otherwise ordered by the commission or presiding officer, the date of service shall be the day when the document served is deposited in the United States mail or overnight delivery, is delivered in person, or otherwise as the parties may agree. Although service is effective, the document is not deemed filed with the commission until it is received by the commission.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Electronic service. The commission’s rule regarding the date of electronic service is at </w:t>
      </w:r>
      <w:hyperlink r:id="rId31">
        <w:r>
          <w:rPr>
            <w:rStyle w:val="Hyperlink"/>
            <w:rFonts w:ascii="Times New Roman" w:hAnsi="Times New Roman"/>
            <w:b w:val="false"/>
            <w:i w:val="false"/>
            <w:color w:val="000000"/>
            <w:sz w:val="22"/>
          </w:rPr>
          <w:t>199—14.16</w:t>
        </w:r>
      </w:hyperlink>
      <w:r>
        <w:rPr>
          <w:rFonts w:ascii="Times New Roman" w:hAnsi="Times New Roman"/>
          <w:b w:val="false"/>
          <w:i w:val="false"/>
          <w:color w:val="000000"/>
          <w:sz w:val="22"/>
        </w:rPr>
        <w:t>(17A,476).</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Parties entitled to service.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Paper service. If a party has been approved by the commission to receive service of paper documents, the person filing the document shall serve that party as required by this subrule.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Electronic service. The commission’s rule regarding electronic service is at </w:t>
      </w:r>
      <w:hyperlink r:id="rId32">
        <w:r>
          <w:rPr>
            <w:rStyle w:val="Hyperlink"/>
            <w:rFonts w:ascii="Times New Roman" w:hAnsi="Times New Roman"/>
            <w:b w:val="false"/>
            <w:i w:val="false"/>
            <w:color w:val="000000"/>
            <w:sz w:val="22"/>
          </w:rPr>
          <w:t>199—14.16</w:t>
        </w:r>
      </w:hyperlink>
      <w:r>
        <w:rPr>
          <w:rFonts w:ascii="Times New Roman" w:hAnsi="Times New Roman"/>
          <w:b w:val="false"/>
          <w:i w:val="false"/>
          <w:color w:val="000000"/>
          <w:sz w:val="22"/>
        </w:rPr>
        <w:t>(17A,476).</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Service of documents containing confidential information. Parties shall serve documents containing confidential information pursuant to a confidentiality agreement executed by the parties, if any. If the parties are unable to agree on a confidentiality agreement, they may ask the commission or presiding officer to issue an appropriate order.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Service upon attorneys. </w:t>
      </w:r>
      <w:r>
        <w:rPr>
          <w:rFonts w:ascii="Times New Roman" w:hAnsi="Times New Roman"/>
          <w:b w:val="false"/>
          <w:i w:val="false"/>
          <w:color w:val="000000"/>
          <w:sz w:val="22"/>
        </w:rPr>
        <w:t>When a party has appeared by attorney, service upon the attorney shall be deemed proper service upon the party.</w:t>
      </w:r>
    </w:p>
    <w:p>
      <w:pPr>
        <w:spacing w:before="0" w:after="0"/>
        <w:ind w:left="120"/>
        <w:jc w:val="both"/>
      </w:pP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Each party to a proceeding shall file in the docket in the commission’s electronic filing system a separate written appearance identifying one person upon whom the commission may electronically serve all orders, correspondence, or other documents. If a party has previously designated a person to be served on the party’s behalf in all matters, filing the appearance will not change this designation, unless the party directs that the designated person be changed in the appearance. If a party files an application, petition, or other initial pleading, or an answer or other responsive pleading, containing the information that would otherwise be required in an appearance, the filing of a separate appearance is not required. The appearance may be filed with the party’s initial filing in the proceeding or may be filed after the proceeding has been docketed.</w:t>
      </w:r>
    </w:p>
    <w:p>
      <w:pPr>
        <w:spacing w:before="0" w:after="0"/>
        <w:ind w:left="120"/>
        <w:jc w:val="both"/>
      </w:pP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color w:val="000000"/>
          <w:sz w:val="22"/>
        </w:rPr>
        <w:t xml:space="preserve">Representation by attorney.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party to a proceeding before the commission or a presiding officer may appear and be heard through a licensed attorney. If the attorney is not licensed by the state of Iowa, the attorney shall apply for admission pro hac vice as required by </w:t>
      </w:r>
      <w:r>
        <w:rPr>
          <w:rFonts w:ascii="Times New Roman" w:hAnsi="Times New Roman"/>
          <w:b w:val="false"/>
          <w:i w:val="false"/>
          <w:color w:val="000000"/>
          <w:sz w:val="22"/>
        </w:rPr>
        <w:t>Iowa Court Rule 31.14(2)(b)</w:t>
      </w:r>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corporation or association may appear and present evidence by an officer or employee. However, only licensed attorneys shall represent a party before the commission or a presiding officer in any matter involving the exercise of legal skill or knowledge, except with the consent of the commission or presiding officer. All persons appearing in proceedings before the commission or a presiding officer shall conform to the standard of ethical conduct required of attorneys before the courts of Iowa.</w:t>
      </w:r>
    </w:p>
    <w:p>
      <w:pPr>
        <w:spacing w:before="0" w:after="0"/>
        <w:ind w:left="120"/>
        <w:jc w:val="both"/>
      </w:pPr>
      <w:r>
        <w:rPr>
          <w:rFonts w:ascii="Times New Roman" w:hAnsi="Times New Roman"/>
          <w:b/>
          <w:i w:val="false"/>
          <w:color w:val="000000"/>
          <w:sz w:val="22"/>
        </w:rPr>
        <w:t>7.4(9)</w:t>
      </w:r>
      <w:r>
        <w:rPr>
          <w:rFonts w:ascii="Times New Roman" w:hAnsi="Times New Roman"/>
          <w:b w:val="false"/>
          <w:i w:val="false"/>
          <w:color w:val="000000"/>
          <w:sz w:val="22"/>
        </w:rPr>
        <w:t> </w:t>
      </w:r>
      <w:r>
        <w:rPr>
          <w:rFonts w:ascii="Times New Roman" w:hAnsi="Times New Roman"/>
          <w:b w:val="false"/>
          <w:i/>
          <w:color w:val="000000"/>
          <w:sz w:val="22"/>
        </w:rPr>
        <w:t xml:space="preserve">Cross reference to public documents, confidential filings, and electronic filings. </w:t>
      </w:r>
      <w:r>
        <w:rPr>
          <w:rFonts w:ascii="Times New Roman" w:hAnsi="Times New Roman"/>
          <w:b w:val="false"/>
          <w:i w:val="false"/>
          <w:color w:val="000000"/>
          <w:sz w:val="22"/>
        </w:rPr>
        <w:t xml:space="preserve">The commission’s rule regarding public documents and confidential filings is at </w:t>
      </w:r>
      <w:hyperlink r:id="rId33">
        <w:r>
          <w:rPr>
            <w:rStyle w:val="Hyperlink"/>
            <w:rFonts w:ascii="Times New Roman" w:hAnsi="Times New Roman"/>
            <w:b w:val="false"/>
            <w:i w:val="false"/>
            <w:color w:val="000000"/>
            <w:sz w:val="22"/>
          </w:rPr>
          <w:t>199—1.9(22)</w:t>
        </w:r>
      </w:hyperlink>
      <w:r>
        <w:rPr>
          <w:rFonts w:ascii="Times New Roman" w:hAnsi="Times New Roman"/>
          <w:b w:val="false"/>
          <w:i w:val="false"/>
          <w:color w:val="000000"/>
          <w:sz w:val="22"/>
        </w:rPr>
        <w:t xml:space="preserve">. The commission’s rule regarding electronic filing of documents containing confidential material is at </w:t>
      </w:r>
      <w:hyperlink r:id="rId34">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i w:val="false"/>
          <w:color w:val="000000"/>
          <w:sz w:val="22"/>
        </w:rPr>
        <w:t>7.4(10)</w:t>
      </w:r>
      <w:r>
        <w:rPr>
          <w:rFonts w:ascii="Times New Roman" w:hAnsi="Times New Roman"/>
          <w:b w:val="false"/>
          <w:i w:val="false"/>
          <w:color w:val="000000"/>
          <w:sz w:val="22"/>
        </w:rPr>
        <w:t> </w:t>
      </w:r>
      <w:r>
        <w:rPr>
          <w:rFonts w:ascii="Times New Roman" w:hAnsi="Times New Roman"/>
          <w:b w:val="false"/>
          <w:i/>
          <w:color w:val="000000"/>
          <w:sz w:val="22"/>
        </w:rPr>
        <w:t xml:space="preserve">Expedited proceedings.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person claims that a statute or other provision of law requires the commission to render a decision in a contested case in six months or less, the person shall include the phrase “Expedited Proceedings Required” in the caption of the first pleading filed by the person in the proceeding. If the phrase is not so included in the caption, the commission or presiding officer may find and order that the proceeding did not commence for purposes of the required time for decision until the date on which the first pleading containing the required phrase is filed or such other date that the commission or presiding officer finds is just and reasonable under the circumstances.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person claims that a statute or other provision of law requires the commission to render a decision in a contested case in six months or less, the person shall state the basis for the claim in the first pleading in which the claim is made.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Shortened time limits applicable to expedited proceedings are contained in rules </w:t>
      </w:r>
      <w:hyperlink r:id="rId35">
        <w:r>
          <w:rPr>
            <w:rStyle w:val="Hyperlink"/>
            <w:rFonts w:ascii="Times New Roman" w:hAnsi="Times New Roman"/>
            <w:b w:val="false"/>
            <w:i w:val="false"/>
            <w:color w:val="000000"/>
            <w:sz w:val="22"/>
          </w:rPr>
          <w:t>199—7.9</w:t>
        </w:r>
      </w:hyperlink>
      <w:r>
        <w:rPr>
          <w:rFonts w:ascii="Times New Roman" w:hAnsi="Times New Roman"/>
          <w:b w:val="false"/>
          <w:i w:val="false"/>
          <w:color w:val="000000"/>
          <w:sz w:val="22"/>
        </w:rPr>
        <w:t xml:space="preserve">(17A,476) (pleadings and answers), </w:t>
      </w:r>
      <w:hyperlink r:id="rId36">
        <w:r>
          <w:rPr>
            <w:rStyle w:val="Hyperlink"/>
            <w:rFonts w:ascii="Times New Roman" w:hAnsi="Times New Roman"/>
            <w:b w:val="false"/>
            <w:i w:val="false"/>
            <w:color w:val="000000"/>
            <w:sz w:val="22"/>
          </w:rPr>
          <w:t>199—7.12</w:t>
        </w:r>
      </w:hyperlink>
      <w:r>
        <w:rPr>
          <w:rFonts w:ascii="Times New Roman" w:hAnsi="Times New Roman"/>
          <w:b w:val="false"/>
          <w:i w:val="false"/>
          <w:color w:val="000000"/>
          <w:sz w:val="22"/>
        </w:rPr>
        <w:t xml:space="preserve">(17A,476) (motions), </w:t>
      </w:r>
      <w:hyperlink r:id="rId37">
        <w:r>
          <w:rPr>
            <w:rStyle w:val="Hyperlink"/>
            <w:rFonts w:ascii="Times New Roman" w:hAnsi="Times New Roman"/>
            <w:b w:val="false"/>
            <w:i w:val="false"/>
            <w:color w:val="000000"/>
            <w:sz w:val="22"/>
          </w:rPr>
          <w:t>199—7.13</w:t>
        </w:r>
      </w:hyperlink>
      <w:r>
        <w:rPr>
          <w:rFonts w:ascii="Times New Roman" w:hAnsi="Times New Roman"/>
          <w:b w:val="false"/>
          <w:i w:val="false"/>
          <w:color w:val="000000"/>
          <w:sz w:val="22"/>
        </w:rPr>
        <w:t xml:space="preserve">(17A,476) (intervention), </w:t>
      </w:r>
      <w:hyperlink r:id="rId38">
        <w:r>
          <w:rPr>
            <w:rStyle w:val="Hyperlink"/>
            <w:rFonts w:ascii="Times New Roman" w:hAnsi="Times New Roman"/>
            <w:b w:val="false"/>
            <w:i w:val="false"/>
            <w:color w:val="000000"/>
            <w:sz w:val="22"/>
          </w:rPr>
          <w:t>199—7.15</w:t>
        </w:r>
      </w:hyperlink>
      <w:r>
        <w:rPr>
          <w:rFonts w:ascii="Times New Roman" w:hAnsi="Times New Roman"/>
          <w:b w:val="false"/>
          <w:i w:val="false"/>
          <w:color w:val="000000"/>
          <w:sz w:val="22"/>
        </w:rPr>
        <w:t xml:space="preserve">(17A,476) (discovery), and </w:t>
      </w:r>
      <w:hyperlink r:id="rId39">
        <w:r>
          <w:rPr>
            <w:rStyle w:val="Hyperlink"/>
            <w:rFonts w:ascii="Times New Roman" w:hAnsi="Times New Roman"/>
            <w:b w:val="false"/>
            <w:i w:val="false"/>
            <w:color w:val="000000"/>
            <w:sz w:val="22"/>
          </w:rPr>
          <w:t>199—7.26</w:t>
        </w:r>
      </w:hyperlink>
      <w:r>
        <w:rPr>
          <w:rFonts w:ascii="Times New Roman" w:hAnsi="Times New Roman"/>
          <w:b w:val="false"/>
          <w:i w:val="false"/>
          <w:color w:val="000000"/>
          <w:sz w:val="22"/>
        </w:rPr>
        <w:t xml:space="preserve">(17A,476) (appeals from proposed decisions). An additional service requirement applicable to expedited proceedings is contained in subrule </w:t>
      </w:r>
      <w:hyperlink r:id="rId40">
        <w:r>
          <w:rPr>
            <w:rStyle w:val="Hyperlink"/>
            <w:rFonts w:ascii="Times New Roman" w:hAnsi="Times New Roman"/>
            <w:b w:val="false"/>
            <w:i w:val="false"/>
            <w:color w:val="000000"/>
            <w:sz w:val="22"/>
          </w:rPr>
          <w:t>7.4(6)</w:t>
        </w:r>
      </w:hyperlink>
      <w:r>
        <w:rPr>
          <w:rFonts w:ascii="Times New Roman" w:hAnsi="Times New Roman"/>
          <w:b w:val="false"/>
          <w:i w:val="false"/>
          <w:color w:val="000000"/>
          <w:sz w:val="22"/>
        </w:rPr>
        <w:t xml:space="preserve"> (service of documents).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party may file a motion that proceedings be expedited even though such treatment is not required by statute or other provision of law. Such voluntary expedited treatment may be granted at the commission’s or presiding officer’s discretion in appropriate circumstances considering the needs of the parties and the interests of justice. In these voluntary expedited proceedings, the commission or presiding officer may shorten the filing dates or other procedures established in this chapter. The shortened time limits and additional service requirement applicable to expedited proceedings established in this chapter and listed in paragraph </w:t>
      </w:r>
      <w:hyperlink r:id="rId41">
        <w:r>
          <w:rPr>
            <w:rStyle w:val="Hyperlink"/>
            <w:rFonts w:ascii="Times New Roman" w:hAnsi="Times New Roman"/>
            <w:b w:val="false"/>
            <w:i w:val="false"/>
            <w:color w:val="000000"/>
            <w:sz w:val="22"/>
          </w:rPr>
          <w:t>7.4(10)</w:t>
        </w:r>
      </w:hyperlink>
      <w:r>
        <w:rPr>
          <w:rFonts w:ascii="Times New Roman" w:hAnsi="Times New Roman"/>
          <w:b w:val="false"/>
          <w:i/>
          <w:color w:val="000000"/>
          <w:sz w:val="22"/>
        </w:rPr>
        <w:t>“c”</w:t>
      </w:r>
      <w:r>
        <w:rPr>
          <w:rFonts w:ascii="Times New Roman" w:hAnsi="Times New Roman"/>
          <w:b w:val="false"/>
          <w:i w:val="false"/>
          <w:color w:val="000000"/>
          <w:sz w:val="22"/>
        </w:rPr>
        <w:t xml:space="preserve"> do not apply to voluntary expedited proceedings under this paragraph unless ordered by the commission or presiding officer. If a party requests an expedited proceeding pursuant to this paragraph, the pleading in which the expedited decision is requested shall state in the title “Expedited Proceedings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199—7.5</w:t>
      </w:r>
      <w:r>
        <w:rPr>
          <w:rFonts w:ascii="Times New Roman" w:hAnsi="Times New Roman"/>
          <w:b/>
          <w:i w:val="false"/>
          <w:color w:val="000000"/>
          <w:sz w:val="22"/>
        </w:rPr>
        <w:t xml:space="preserve">(17A,476)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42">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In response to a request or on its own motion, for good cause, the commission or presiding officer may extend or shorten the time to take any action, except as precluded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199—7.6</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proceedings. </w:t>
      </w:r>
      <w:r>
        <w:rPr>
          <w:rFonts w:ascii="Times New Roman" w:hAnsi="Times New Roman"/>
          <w:b w:val="false"/>
          <w:i w:val="false"/>
          <w:color w:val="000000"/>
          <w:sz w:val="22"/>
        </w:rPr>
        <w:t>The commission or presiding officer may hold proceedings by telephone conference call or other electronic means, such as a webinar service, in which all parties have an opportunity to participate. The commission or presiding officer will determine the location of the parties and witnesses for electronic proceedings. The convenience of the witnesses or parties, as well as the nature of the case, will be considered when locations are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199—7.7</w:t>
      </w:r>
      <w:r>
        <w:rPr>
          <w:rFonts w:ascii="Times New Roman" w:hAnsi="Times New Roman"/>
          <w:b/>
          <w:i w:val="false"/>
          <w:color w:val="000000"/>
          <w:sz w:val="22"/>
        </w:rPr>
        <w:t xml:space="preserve">(17A,476) </w:t>
      </w:r>
      <w:r>
        <w:rPr>
          <w:rFonts w:ascii="Times New Roman" w:hAnsi="Times New Roman"/>
          <w:b/>
          <w:i w:val="false"/>
          <w:color w:val="000000"/>
          <w:sz w:val="22"/>
        </w:rPr>
        <w:t xml:space="preserve">Electronic information. </w:t>
      </w:r>
      <w:r>
        <w:rPr>
          <w:rFonts w:ascii="Times New Roman" w:hAnsi="Times New Roman"/>
          <w:b w:val="false"/>
          <w:i w:val="false"/>
          <w:color w:val="000000"/>
          <w:sz w:val="22"/>
        </w:rPr>
        <w:t xml:space="preserve">Filing of electronic information shall comply with the commission’s rules on electronic filing at </w:t>
      </w:r>
      <w:hyperlink r:id="rId4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the commission’s published standards for electronic information, available on the commission’s website at </w:t>
      </w:r>
      <w:hyperlink r:id="rId44">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or from the commission’s customer service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199—7.8</w:t>
      </w:r>
      <w:r>
        <w:rPr>
          <w:rFonts w:ascii="Times New Roman" w:hAnsi="Times New Roman"/>
          <w:b/>
          <w:i w:val="false"/>
          <w:color w:val="000000"/>
          <w:sz w:val="22"/>
        </w:rPr>
        <w:t xml:space="preserve">(17A,476) </w:t>
      </w:r>
      <w:r>
        <w:rPr>
          <w:rFonts w:ascii="Times New Roman" w:hAnsi="Times New Roman"/>
          <w:b/>
          <w:i w:val="false"/>
          <w:color w:val="000000"/>
          <w:sz w:val="22"/>
        </w:rPr>
        <w:t xml:space="preserve">Delivery of notice of hearing. </w:t>
      </w:r>
      <w:r>
        <w:rPr>
          <w:rFonts w:ascii="Times New Roman" w:hAnsi="Times New Roman"/>
          <w:b w:val="false"/>
          <w:i w:val="false"/>
          <w:color w:val="000000"/>
          <w:sz w:val="22"/>
        </w:rPr>
        <w:t>When the commission or presiding officer issues an order containing a notice of hearing, delivery of the order will be by electronic notice through the electronic filing system, and to those persons who have been approved to receive paper documents,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199—7.9</w:t>
      </w:r>
      <w:r>
        <w:rPr>
          <w:rFonts w:ascii="Times New Roman" w:hAnsi="Times New Roman"/>
          <w:b/>
          <w:i w:val="false"/>
          <w:color w:val="000000"/>
          <w:sz w:val="22"/>
        </w:rPr>
        <w:t xml:space="preserve">(17A,476) </w:t>
      </w:r>
      <w:r>
        <w:rPr>
          <w:rFonts w:ascii="Times New Roman" w:hAnsi="Times New Roman"/>
          <w:b/>
          <w:i w:val="false"/>
          <w:color w:val="000000"/>
          <w:sz w:val="22"/>
        </w:rPr>
        <w:t xml:space="preserve">Pleadings and answers. </w:t>
      </w:r>
    </w:p>
    <w:p>
      <w:pPr>
        <w:spacing w:before="0" w:after="0"/>
        <w:ind w:left="120"/>
        <w:jc w:val="both"/>
      </w:pP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filed pursuant to statute, rule, or order or filed to initiate a docket and shall be filed in the commission’s electronic filing system.</w:t>
      </w:r>
    </w:p>
    <w:p>
      <w:pPr>
        <w:spacing w:before="0" w:after="0"/>
        <w:ind w:left="120"/>
        <w:jc w:val="both"/>
      </w:pP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Answers.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Unless otherwise ordered by the commission or presiding officer, answers to complaints, petitions, applications, or other pleadings shall be filed with the commission within 20 days after the day on which the pleading being answered was filed in the commission’s electronic filing system and served upon the respondent or other party. However, when a statute or other provision of law requires the commission to issue a decision in the case in six months or less, the answer shall be filed with the commission within 10 days of service of the pleading being answered, unless otherwise ordered by the board or presiding officer.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answer must specifically admit, deny, or otherwise answer all material allegations of the pleadings and also briefly set forth the affirmative grounds relied upon to support each answer.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party who deems the complaint, petition, application, or other pleading insufficient to show a breach of legal duty or grounds for relief may move to dismiss instead of, or in addition to, answering.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party may apply for a more definitive and detailed statement instead of, or in addition to, answering, if appropriate.</w:t>
      </w:r>
    </w:p>
    <w:p>
      <w:pPr>
        <w:spacing w:before="0" w:after="0"/>
        <w:ind w:left="120"/>
        <w:jc w:val="both"/>
      </w:pP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Amendments to pleadings. </w:t>
      </w:r>
      <w:r>
        <w:rPr>
          <w:rFonts w:ascii="Times New Roman" w:hAnsi="Times New Roman"/>
          <w:b w:val="false"/>
          <w:i w:val="false"/>
          <w:color w:val="000000"/>
          <w:sz w:val="22"/>
        </w:rPr>
        <w:t>Amendments to pleadings may be allowed upon proper motion at any time during the pendency of the proceeding upon such terms as are just and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199—7.10</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Prefiled testimony and exhibits. </w:t>
      </w:r>
    </w:p>
    <w:p>
      <w:pPr>
        <w:spacing w:before="0" w:after="0"/>
        <w:ind w:left="120"/>
        <w:jc w:val="both"/>
      </w:pP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order the parties to file prefiled testimony and exhibits prior to the hearing. The use of prefiled testimony is the standard method for providing testimony in commission contested case and other proceedings. Parties shall file the prefiled testimony and exhibits according to the schedule in the procedural order.</w:t>
      </w:r>
    </w:p>
    <w:p>
      <w:pPr>
        <w:spacing w:before="0" w:after="0"/>
        <w:ind w:left="120"/>
        <w:jc w:val="both"/>
      </w:pP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Prefiled testimony contains all statements that a witness intends to give under oath at the hearing, set forth in question and answer form. If possible, each line should be separately numbered. When a witness who has submitted prefiled testimony takes the stand, the witness does not ordinarily repeat the written testimony or give new testimony. Instead, the witness is cross-examined by the other parties concerning the statements already made in writing. However, the witness may be permitted to correct or update prefiled testimony on the stand and, in appropriate circumstances and with the approval of the commission or presiding officer, may give a summary of the prefiled testimony. If the witness has more than three corrections to make to the prefiled testimony or exhibits, then the corrected testimony or exhibits should be filed in the appropriate docket in the commission’s electronic filing system at least three days prior to the hearing. The prefiled testimony and any exhibits shall be marked and identified in conformance with the commission’s approved naming convention provided on the commission’s electronic filing system website or as directed in a commission order.</w:t>
      </w:r>
    </w:p>
    <w:p>
      <w:pPr>
        <w:spacing w:before="0" w:after="0"/>
        <w:ind w:left="120"/>
        <w:jc w:val="both"/>
      </w:pP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Parties who wish to present a witness or other evidence in a proceeding shall comply with the commission’s or presiding officer’s order concerning prefiled testimony and exhibits, unless otherwise ordered, or unless otherwise provided by statute or other provision of law.</w:t>
      </w:r>
    </w:p>
    <w:p>
      <w:pPr>
        <w:spacing w:before="0" w:after="0"/>
        <w:ind w:left="120"/>
        <w:jc w:val="both"/>
      </w:pP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Prefiled testimony and exhibits must be accompanied by an affidavit in substantially the following form: “I, [person’s name], being first duly sworn on oath, state that I am the same [person’s name] identified in the testimony being filed with this affidavit, that I have caused the testimony [and exhibits] to be prepared and am familiar with its contents, and that the testimony [and exhibits] is true and correct to the best of my knowledge and belief as of the date of this affidavit.”</w:t>
      </w:r>
    </w:p>
    <w:p>
      <w:pPr>
        <w:spacing w:before="0" w:after="0"/>
        <w:ind w:left="120"/>
        <w:jc w:val="both"/>
      </w:pP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val="false"/>
          <w:color w:val="000000"/>
          <w:sz w:val="22"/>
        </w:rPr>
        <w:t xml:space="preserve">Prefiled testimony and exhibits shall be filed in the commission’s electronic filing system in conformance with </w:t>
      </w:r>
      <w:hyperlink r:id="rId45">
        <w:r>
          <w:rPr>
            <w:rStyle w:val="Hyperlink"/>
            <w:rFonts w:ascii="Times New Roman" w:hAnsi="Times New Roman"/>
            <w:b w:val="false"/>
            <w:i w:val="false"/>
            <w:color w:val="000000"/>
            <w:sz w:val="22"/>
          </w:rPr>
          <w:t>subrule 7.10(2)</w:t>
        </w:r>
      </w:hyperlink>
      <w:r>
        <w:rPr>
          <w:rFonts w:ascii="Times New Roman" w:hAnsi="Times New Roman"/>
          <w:b w:val="false"/>
          <w:i w:val="false"/>
          <w:color w:val="000000"/>
          <w:sz w:val="22"/>
        </w:rPr>
        <w:t>, and any supporting documents shall be filed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supporting workpapers.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Electronic workpapers in native electronic formats shall comply with the commission’s standards for electronic information, which are available on the commission’s website or from the commission’s customer service center.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Workpapers’ underlying analyses and data presented in exhibits shall be explicitly referenced within the exhibit, including the name and other identifiers (e.g., cell coordinates) for electronic workpapers, and volume, tab, and page numbers for other workpapers.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source of any number used in a workpaper that was not generated by that workpaper shall be identified.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derivation or source of all numbers used in either testimony or exhibits that were not generated by workpapers.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Copies of any specific studies or financial literature relied upon or complete citations for them if publicly available.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Electronic copies, in native electronic format, of all computer-generated exhibits that comply with the commission’s standards for electronic information, which are available on the commission’s website or from the commission’s customer service center. </w:t>
      </w:r>
    </w:p>
    <w:p>
      <w:pPr>
        <w:spacing w:before="0" w:after="0"/>
        <w:ind w:left="120"/>
        <w:jc w:val="both"/>
      </w:pP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prefiled testimony and exhibits shall comply with the commission’s standards for electronic information, which are available on the commission’s website or in the commission’s customer service center, and the electronic filing rules in </w:t>
      </w:r>
      <w:hyperlink r:id="rId4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7.10(7)</w:t>
      </w:r>
      <w:r>
        <w:rPr>
          <w:rFonts w:ascii="Times New Roman" w:hAnsi="Times New Roman"/>
          <w:b w:val="false"/>
          <w:i w:val="false"/>
          <w:color w:val="000000"/>
          <w:sz w:val="22"/>
        </w:rPr>
        <w:t> </w:t>
      </w:r>
      <w:r>
        <w:rPr>
          <w:rFonts w:ascii="Times New Roman" w:hAnsi="Times New Roman"/>
          <w:b w:val="false"/>
          <w:i w:val="false"/>
          <w:color w:val="000000"/>
          <w:sz w:val="22"/>
        </w:rPr>
        <w:t>If a party has filed part or all of its prefiled testimony and exhibits as confidential and then later withdraws the claim of confidentiality for part or all of the testimony and exhibits, or if the commission denies the request to hold the testimony and exhibits confidential, the party shall refile the testimony and exhibits with the information made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199—7.11</w:t>
      </w:r>
      <w:r>
        <w:rPr>
          <w:rFonts w:ascii="Times New Roman" w:hAnsi="Times New Roman"/>
          <w:b/>
          <w:i w:val="false"/>
          <w:color w:val="000000"/>
          <w:sz w:val="22"/>
        </w:rPr>
        <w:t xml:space="preserve">(17A,476) </w:t>
      </w:r>
      <w:r>
        <w:rPr>
          <w:rFonts w:ascii="Times New Roman" w:hAnsi="Times New Roman"/>
          <w:b/>
          <w:i w:val="false"/>
          <w:color w:val="000000"/>
          <w:sz w:val="22"/>
        </w:rPr>
        <w:t xml:space="preserve">Documentary evidence in books and materials. </w:t>
      </w:r>
      <w:r>
        <w:rPr>
          <w:rFonts w:ascii="Times New Roman" w:hAnsi="Times New Roman"/>
          <w:b w:val="false"/>
          <w:i w:val="false"/>
          <w:color w:val="000000"/>
          <w:sz w:val="22"/>
        </w:rPr>
        <w:t xml:space="preserve">When documentary evidence being offered is contained in a book, report, or other document, the offering party shall file only the material, relevant portions in an exhibit.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199—7.12</w:t>
      </w:r>
      <w:r>
        <w:rPr>
          <w:rFonts w:ascii="Times New Roman" w:hAnsi="Times New Roman"/>
          <w:b/>
          <w:i w:val="false"/>
          <w:color w:val="000000"/>
          <w:sz w:val="22"/>
        </w:rPr>
        <w:t xml:space="preserve">(17A,476) </w:t>
      </w:r>
      <w:r>
        <w:rPr>
          <w:rFonts w:ascii="Times New Roman" w:hAnsi="Times New Roman"/>
          <w:b/>
          <w:i w:val="false"/>
          <w:color w:val="000000"/>
          <w:sz w:val="22"/>
        </w:rPr>
        <w:t xml:space="preserve">Motions. </w:t>
      </w:r>
      <w:r>
        <w:rPr>
          <w:rFonts w:ascii="Times New Roman" w:hAnsi="Times New Roman"/>
          <w:b w:val="false"/>
          <w:i w:val="false"/>
          <w:color w:val="000000"/>
          <w:sz w:val="22"/>
        </w:rPr>
        <w:t xml:space="preserve">Motions, unless made during hearing, shall be in writing, state the grounds for relief, and state the relief or order sought. Motions based on matters that do not appear of record shall be supported by affidavit. Motions shall be filed in compliance with </w:t>
      </w:r>
      <w:hyperlink r:id="rId4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Any party may file a written response to a motion no later than 14 days from the date the motion is filed, unless the time period is extended or shortened by the commission or presiding officer. When a statutory or other provision of law requires the commission to issue a decision in the case in six months or less, written responses to a motion must be filed within seven days of the date the motion is filed, unless otherwise ordered by the commission or presiding officer. Failure to file a timely response may be deemed a waiver of objection to the motion. Requirements regarding motions related to discovery are contained at </w:t>
      </w:r>
      <w:hyperlink r:id="rId48">
        <w:r>
          <w:rPr>
            <w:rStyle w:val="Hyperlink"/>
            <w:rFonts w:ascii="Times New Roman" w:hAnsi="Times New Roman"/>
            <w:b w:val="false"/>
            <w:i w:val="false"/>
            <w:color w:val="000000"/>
            <w:sz w:val="22"/>
          </w:rPr>
          <w:t>subrules 7.15(4)</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7.15(5)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199—7.13</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Unless otherwise ordered by the commission or presiding officer, a request to intervene in a proceeding shall be by petition to intervene filed no later than 20 days following the order setting a procedural schedule. However, when a statutory or other provision of law requires the commission to issue a decision in the case in six months or less, the petition to intervene must be filed no later than ten days following the order setting a procedural schedule, unless otherwise ordered by the commission or presiding officer. </w:t>
      </w:r>
    </w:p>
    <w:p>
      <w:pPr>
        <w:spacing w:before="0" w:after="0"/>
        <w:ind w:left="120"/>
        <w:jc w:val="both"/>
      </w:pP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Response. Any party may file a response within seven days of service of the petition to intervene unless the time period is extended or shortened by the commission or presiding officer.</w:t>
      </w:r>
    </w:p>
    <w:p>
      <w:pPr>
        <w:spacing w:before="0" w:after="0"/>
        <w:ind w:left="120"/>
        <w:jc w:val="both"/>
      </w:pP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Grounds for intervention. Any person having an interest in the subject matter of a proceeding may be permitted to intervene at the discretion of the commission or presiding officer. In determining whether to grant intervention, the commission or presiding officer shall consider: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prospective intervenor’s interest in the subject matter of the proceeding;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effect of a decision that may be rendered upon the prospective intervenor’s interest;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extent to which the prospective intervenor’s interest will be represented by other parties;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availability of other means by which the prospective intervenor’s interest may be protected;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extent to which the prospective intervenor’s participation may reasonably be expected to assist in the development of a sound record through presentation of relevant evidence and argument; and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In determining the extent to which the prospective intervenor’s interest will be represented by other parties, the consumer advocate’s role of representing the public interest shall not be interpreted as representing every potential interest in a proceeding.</w:t>
      </w:r>
    </w:p>
    <w:p>
      <w:pPr>
        <w:spacing w:before="0" w:after="0"/>
        <w:ind w:left="120"/>
        <w:jc w:val="both"/>
      </w:pP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limit a person’s intervention to particular issues or to a particular stage of the proceeding, or may otherwise condition the intervenor’s participation in the proceeding. Leave to intervene shall generally be granted by the commission or presiding officer to any person with a cognizable interest in the proceeding.</w:t>
      </w:r>
    </w:p>
    <w:p>
      <w:pPr>
        <w:spacing w:before="0" w:after="0"/>
        <w:ind w:left="120"/>
        <w:jc w:val="both"/>
      </w:pP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When two or more intervenors have substantially the same interest, the commission or presiding officer, in the commission’s or presiding officer’s discretion, may order consolidation of petitions and briefs and limit the number of attorneys allowed to participate actively in the proceedings to avoid a duplication of effort.</w:t>
      </w:r>
    </w:p>
    <w:p>
      <w:pPr>
        <w:spacing w:before="0" w:after="0"/>
        <w:ind w:left="120"/>
        <w:jc w:val="both"/>
      </w:pP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A person granted leave to intervene is a party to the proceeding. However, unless the commission or presiding officer rules otherwise for good cause shown, an intervenor shall be bound by any agreement, arrangement, or order previously made or issued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199—7.14</w:t>
      </w:r>
      <w:r>
        <w:rPr>
          <w:rFonts w:ascii="Times New Roman" w:hAnsi="Times New Roman"/>
          <w:b/>
          <w:i w:val="false"/>
          <w:color w:val="000000"/>
          <w:sz w:val="22"/>
        </w:rPr>
        <w:t xml:space="preserve">(17A,476)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commission or presiding officer may consolidate in one docket any or all matters at issue in two or more dockets. When deciding whether to consolidate, the commission or presiding officer shall consider: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matters at issue involve common parties or common questions of fact or law;</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consolidation is likely to expedite or simplify consideration of the issues involved;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consolidation would adversely affect the substantial rights of any of the parties to the proceedings;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commission or presiding officer may order any contested case or portions thereof severed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199—7.15</w:t>
      </w:r>
      <w:r>
        <w:rPr>
          <w:rFonts w:ascii="Times New Roman" w:hAnsi="Times New Roman"/>
          <w:b/>
          <w:i w:val="false"/>
          <w:color w:val="000000"/>
          <w:sz w:val="22"/>
        </w:rPr>
        <w:t xml:space="preserve">(17A,476)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available to parties in contested cases.</w:t>
      </w:r>
    </w:p>
    <w:p>
      <w:pPr>
        <w:spacing w:before="0" w:after="0"/>
        <w:ind w:left="120"/>
        <w:jc w:val="both"/>
      </w:pP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Unless otherwise ordered by the commission or presiding officer or agreed to by the parties, data requests or interrogatories served by any party shall either be responded to or objected to, with concisely stated grounds for relief, within seven days of receipt. When a statutory or other provision of law requires the commission to issue a decision in the case in six months or less, this time is reduced to five days. Data requests or interrogatories served on a day the commission is closed or after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central time on a day the commission is open shall be considered served on the next business day.</w:t>
      </w:r>
    </w:p>
    <w:p>
      <w:pPr>
        <w:spacing w:before="0" w:after="0"/>
        <w:ind w:left="120"/>
        <w:jc w:val="both"/>
      </w:pP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commission or presiding officer, time periods for compliance with all forms of discovery other than those stated in subrule </w:t>
      </w:r>
      <w:hyperlink r:id="rId50">
        <w:r>
          <w:rPr>
            <w:rStyle w:val="Hyperlink"/>
            <w:rFonts w:ascii="Times New Roman" w:hAnsi="Times New Roman"/>
            <w:b w:val="false"/>
            <w:i w:val="false"/>
            <w:color w:val="000000"/>
            <w:sz w:val="22"/>
          </w:rPr>
          <w:t>7.15(2)</w:t>
        </w:r>
      </w:hyperlink>
      <w:r>
        <w:rPr>
          <w:rFonts w:ascii="Times New Roman" w:hAnsi="Times New Roman"/>
          <w:b w:val="false"/>
          <w:i w:val="false"/>
          <w:color w:val="000000"/>
          <w:sz w:val="22"/>
        </w:rPr>
        <w:t xml:space="preserve"> shall be as provided in the Iowa Rules of Civil Procedure.</w:t>
      </w:r>
    </w:p>
    <w:p>
      <w:pPr>
        <w:spacing w:before="0" w:after="0"/>
        <w:ind w:left="120"/>
        <w:jc w:val="both"/>
      </w:pP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Prior to filing any motion related to discovery, parties shall make a good-faith effort to resolve discovery disputes without the involvement of the commission or presiding officer.</w:t>
      </w:r>
    </w:p>
    <w:p>
      <w:pPr>
        <w:spacing w:before="0" w:after="0"/>
        <w:ind w:left="120"/>
        <w:jc w:val="both"/>
      </w:pP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Any motion related to discovery shall allege that the moving party has made a good-faith attempt to resolve the discovery issues involved with the opposing party. Opposing parties shall be given the opportunity to respond within 14 days of the filing of the motion unless the time is extended or shortened by order of the commission or presiding officer. When a statutory or other provision of law requires the commission to issue a decision in the case in six months or less, this time is reduced to seven days, unless otherwise ordered by the commission or presiding officer. The commission or presiding officer may rule on the basis of the written motion and any response, or may order argument or other proceedings on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199—7.16</w:t>
      </w:r>
      <w:r>
        <w:rPr>
          <w:rFonts w:ascii="Times New Roman" w:hAnsi="Times New Roman"/>
          <w:b/>
          <w:i w:val="false"/>
          <w:color w:val="000000"/>
          <w:sz w:val="22"/>
        </w:rPr>
        <w:t xml:space="preserve">(17A,476)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agency subpoena shall be issued to a party on request. The request shall be in writing and include the name, address, and telephone number of the requesting party. In the absence of good cause for permitting later action, a request for a subpoena must be received at least seven days before the scheduled hearing. The commission will issue subpoenas only on paper, not through the electronic filing system.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 Subpoenas cannot be served electronically through the electronic filing system.</w:t>
      </w:r>
    </w:p>
    <w:p>
      <w:pPr>
        <w:spacing w:before="0" w:after="0"/>
        <w:ind w:left="120"/>
        <w:jc w:val="both"/>
      </w:pP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Upon motion, the commission or presiding officer may quash or modify a subpoena for any lawful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199—7.17</w:t>
      </w:r>
      <w:r>
        <w:rPr>
          <w:rFonts w:ascii="Times New Roman" w:hAnsi="Times New Roman"/>
          <w:b/>
          <w:i w:val="false"/>
          <w:color w:val="000000"/>
          <w:sz w:val="22"/>
        </w:rPr>
        <w:t xml:space="preserve">(17A,476) </w:t>
      </w:r>
      <w:r>
        <w:rPr>
          <w:rFonts w:ascii="Times New Roman" w:hAnsi="Times New Roman"/>
          <w:b/>
          <w:i w:val="false"/>
          <w:color w:val="000000"/>
          <w:sz w:val="22"/>
        </w:rPr>
        <w:t xml:space="preserve">Prehearing or scheduling conference. </w:t>
      </w:r>
      <w:r>
        <w:rPr>
          <w:rFonts w:ascii="Times New Roman" w:hAnsi="Times New Roman"/>
          <w:b w:val="false"/>
          <w:i w:val="false"/>
          <w:color w:val="000000"/>
          <w:sz w:val="22"/>
        </w:rPr>
        <w:t>The commission or presiding officer may schedule a prehearing conference, scheduling conference, or other informal conference at the commission’s or presiding officer’s discretion or at the request of any party for any appropriate purpose. Any agreement reached at the conference shall be made a part of the record in the manner directed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199—7.18</w:t>
      </w:r>
      <w:r>
        <w:rPr>
          <w:rFonts w:ascii="Times New Roman" w:hAnsi="Times New Roman"/>
          <w:b/>
          <w:i w:val="false"/>
          <w:color w:val="000000"/>
          <w:sz w:val="22"/>
        </w:rPr>
        <w:t xml:space="preserve">(17A,476) </w:t>
      </w:r>
      <w:r>
        <w:rPr>
          <w:rFonts w:ascii="Times New Roman" w:hAnsi="Times New Roman"/>
          <w:b/>
          <w:i w:val="false"/>
          <w:color w:val="000000"/>
          <w:sz w:val="22"/>
        </w:rPr>
        <w:t xml:space="preserve">Settlements. </w:t>
      </w:r>
      <w:r>
        <w:rPr>
          <w:rFonts w:ascii="Times New Roman" w:hAnsi="Times New Roman"/>
          <w:b w:val="false"/>
          <w:i w:val="false"/>
          <w:color w:val="000000"/>
          <w:sz w:val="22"/>
        </w:rPr>
        <w:t>Parties to a contested case may propose to settle all or some of the issues in the case. The commission or presiding officer will not approve settlements, whether contested or uncontested, unless the settlement is reasonable in light of the whole record, consistent with law, and in the public interest. Commission adoption of a settlement constitutes the final decision of the commission on issues addressed in the settlement.</w:t>
      </w:r>
    </w:p>
    <w:p>
      <w:pPr>
        <w:spacing w:before="0" w:after="0"/>
        <w:ind w:left="120"/>
        <w:jc w:val="both"/>
      </w:pP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Proposal of settlements. </w:t>
      </w:r>
      <w:r>
        <w:rPr>
          <w:rFonts w:ascii="Times New Roman" w:hAnsi="Times New Roman"/>
          <w:b w:val="false"/>
          <w:i w:val="false"/>
          <w:color w:val="000000"/>
          <w:sz w:val="22"/>
        </w:rPr>
        <w:t>Two or more parties may by written motion propose settlements for adoption by the commission or presiding officer. The motion shall contain a statement adequate to advise the commission or presiding officer and parties not expressly joining the proposal of its scope and of the grounds on which adoption is urged. Parties may propose a settlement for adoption by the commission or presiding officer at any time.</w:t>
      </w:r>
    </w:p>
    <w:p>
      <w:pPr>
        <w:spacing w:before="0" w:after="0"/>
        <w:ind w:left="120"/>
        <w:jc w:val="both"/>
      </w:pP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After proposal of a settlement that is not supported by all parties, and prior to approval, the settling parties shall convene at least one conference with notice and opportunity to participate provided to all parties for the purpose of discussing the settlement proposal. Written notice of the date, time, and place shall be furnished at least seven days in advance to all parties to the proceeding. Attendance at any settlement conference shall be limited to the parties to a proceeding and their representatives. A party that has been given notice and opportunity to participate in the conference and does not do so shall be deemed to have waived its right to contest a proposed settlement, unless good cause is shown for the failure to participate.</w:t>
      </w:r>
    </w:p>
    <w:p>
      <w:pPr>
        <w:spacing w:before="0" w:after="0"/>
        <w:ind w:left="120"/>
        <w:jc w:val="both"/>
      </w:pP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Comment period. </w:t>
      </w:r>
      <w:r>
        <w:rPr>
          <w:rFonts w:ascii="Times New Roman" w:hAnsi="Times New Roman"/>
          <w:b w:val="false"/>
          <w:i w:val="false"/>
          <w:color w:val="000000"/>
          <w:sz w:val="22"/>
        </w:rPr>
        <w:t>When a party to a proceeding does not join in a settlement proposed for adoption by the commission or presiding officer, the party may file comments contesting all or part of the settlement with the commission. Unless otherwise ordered by the commission or presiding officer, the party shall file its comments within 14 days of filing of the motion proposing settlement, and shall serve such comments on all parties to the proceeding at the time of filing. Unless otherwise ordered by the commission or presiding officer, parties shall file reply comments within 7 days of filing of the comments.</w:t>
      </w:r>
    </w:p>
    <w:p>
      <w:pPr>
        <w:spacing w:before="0" w:after="0"/>
        <w:ind w:left="120"/>
        <w:jc w:val="both"/>
      </w:pP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Contents of comments. </w:t>
      </w:r>
      <w:r>
        <w:rPr>
          <w:rFonts w:ascii="Times New Roman" w:hAnsi="Times New Roman"/>
          <w:b w:val="false"/>
          <w:i w:val="false"/>
          <w:color w:val="000000"/>
          <w:sz w:val="22"/>
        </w:rPr>
        <w:t>A party contesting a proposed settlement must specify in its comments the portions of the settlement that it opposes, the legal basis of its opposition, and the factual issues that it contests. Any failure by a party to file comments may, at the commission’s or presiding officer’s discretion, constitute waiver by that party of all objections to the settlement.</w:t>
      </w:r>
    </w:p>
    <w:p>
      <w:pPr>
        <w:spacing w:before="0" w:after="0"/>
        <w:ind w:left="120"/>
        <w:jc w:val="both"/>
      </w:pP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Contested settlements. </w:t>
      </w:r>
      <w:r>
        <w:rPr>
          <w:rFonts w:ascii="Times New Roman" w:hAnsi="Times New Roman"/>
          <w:b w:val="false"/>
          <w:i w:val="false"/>
          <w:color w:val="000000"/>
          <w:sz w:val="22"/>
        </w:rPr>
        <w:t>If the proposed settlement is contested, in whole or in part, on any material issue of fact by any party, the commission or presiding officer may schedule a hearing on the contested issue(s). The commission or presiding officer may decline to schedule a hearing where the contested issue of fact is not material or where the contested issue is one of law.</w:t>
      </w:r>
    </w:p>
    <w:p>
      <w:pPr>
        <w:spacing w:before="0" w:after="0"/>
        <w:ind w:left="120"/>
        <w:jc w:val="both"/>
      </w:pP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Unanimous proposed settlement. </w:t>
      </w:r>
      <w:r>
        <w:rPr>
          <w:rFonts w:ascii="Times New Roman" w:hAnsi="Times New Roman"/>
          <w:b w:val="false"/>
          <w:i w:val="false"/>
          <w:color w:val="000000"/>
          <w:sz w:val="22"/>
        </w:rPr>
        <w:t xml:space="preserve">In proceedings where all parties join in the proposed settlement, parties may propose a settlement for adoption by the commission or presiding officer any time after docketing. Subrules </w:t>
      </w:r>
      <w:hyperlink r:id="rId51">
        <w:r>
          <w:rPr>
            <w:rStyle w:val="Hyperlink"/>
            <w:rFonts w:ascii="Times New Roman" w:hAnsi="Times New Roman"/>
            <w:b w:val="false"/>
            <w:i w:val="false"/>
            <w:color w:val="000000"/>
            <w:sz w:val="22"/>
          </w:rPr>
          <w:t>7.18(2)</w:t>
        </w:r>
      </w:hyperlink>
      <w:r>
        <w:rPr>
          <w:rFonts w:ascii="Times New Roman" w:hAnsi="Times New Roman"/>
          <w:b w:val="false"/>
          <w:i w:val="false"/>
          <w:color w:val="000000"/>
          <w:sz w:val="22"/>
        </w:rPr>
        <w:t xml:space="preserve"> through </w:t>
      </w:r>
      <w:hyperlink r:id="rId52">
        <w:r>
          <w:rPr>
            <w:rStyle w:val="Hyperlink"/>
            <w:rFonts w:ascii="Times New Roman" w:hAnsi="Times New Roman"/>
            <w:b w:val="false"/>
            <w:i w:val="false"/>
            <w:color w:val="000000"/>
            <w:sz w:val="22"/>
          </w:rPr>
          <w:t>7.18(5)</w:t>
        </w:r>
      </w:hyperlink>
      <w:r>
        <w:rPr>
          <w:rFonts w:ascii="Times New Roman" w:hAnsi="Times New Roman"/>
          <w:b w:val="false"/>
          <w:i w:val="false"/>
          <w:color w:val="000000"/>
          <w:sz w:val="22"/>
        </w:rPr>
        <w:t xml:space="preserve"> shall not apply to a proposed settlement filed concurrently by all parties to the proceeding. Settlements in general rate case proceedings shall comply with rule </w:t>
      </w:r>
      <w:hyperlink r:id="rId53">
        <w:r>
          <w:rPr>
            <w:rStyle w:val="Hyperlink"/>
            <w:rFonts w:ascii="Times New Roman" w:hAnsi="Times New Roman"/>
            <w:b w:val="false"/>
            <w:i w:val="false"/>
            <w:color w:val="000000"/>
            <w:sz w:val="22"/>
          </w:rPr>
          <w:t>199—26.3</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color w:val="000000"/>
          <w:sz w:val="22"/>
        </w:rPr>
        <w:t xml:space="preserve">Inadmissibility. </w:t>
      </w:r>
      <w:r>
        <w:rPr>
          <w:rFonts w:ascii="Times New Roman" w:hAnsi="Times New Roman"/>
          <w:b w:val="false"/>
          <w:i w:val="false"/>
          <w:color w:val="000000"/>
          <w:sz w:val="22"/>
        </w:rPr>
        <w:t>Any discussion, admission, concession, or offer to settle, whether oral or written, made during any negotiation on a settlement shall be privileged to the extent provided by law, including, but not limited to, Iowa R. Evid. 5.408.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199—7.19</w:t>
      </w:r>
      <w:r>
        <w:rPr>
          <w:rFonts w:ascii="Times New Roman" w:hAnsi="Times New Roman"/>
          <w:b/>
          <w:i w:val="false"/>
          <w:color w:val="000000"/>
          <w:sz w:val="22"/>
        </w:rPr>
        <w:t xml:space="preserve">(17A,476) </w:t>
      </w:r>
      <w:r>
        <w:rPr>
          <w:rFonts w:ascii="Times New Roman" w:hAnsi="Times New Roman"/>
          <w:b/>
          <w:i w:val="false"/>
          <w:color w:val="000000"/>
          <w:sz w:val="22"/>
        </w:rPr>
        <w:t xml:space="preserve">Stipulations. </w:t>
      </w:r>
      <w:r>
        <w:rPr>
          <w:rFonts w:ascii="Times New Roman" w:hAnsi="Times New Roman"/>
          <w:b w:val="false"/>
          <w:i w:val="false"/>
          <w:color w:val="000000"/>
          <w:sz w:val="22"/>
        </w:rPr>
        <w:t>Parties to any proceeding or investigation may, by stipulation filed with the commission, agree upon the facts or law or any portion thereof involved in the controversy, subject to approval by the commission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199—7.20</w:t>
      </w:r>
      <w:r>
        <w:rPr>
          <w:rFonts w:ascii="Times New Roman" w:hAnsi="Times New Roman"/>
          <w:b/>
          <w:i w:val="false"/>
          <w:color w:val="000000"/>
          <w:sz w:val="22"/>
        </w:rPr>
        <w:t xml:space="preserve">(17A,476)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availability of discovery pursuant to Iowa Code section </w:t>
      </w:r>
      <w:hyperlink r:id="rId5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or the Iowa Rules of Civil Procedure shall not be construed to limit the investigatory powers of the commission, its representatives, or the consumer advocate.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199—7.21</w:t>
      </w:r>
      <w:r>
        <w:rPr>
          <w:rFonts w:ascii="Times New Roman" w:hAnsi="Times New Roman"/>
          <w:b/>
          <w:i w:val="false"/>
          <w:color w:val="000000"/>
          <w:sz w:val="22"/>
        </w:rPr>
        <w:t xml:space="preserve">(17A,476)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 the permission of the commission or presiding officer, withdraw that request at any time prior to the issuance of a proposed or final decision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199—7.22</w:t>
      </w:r>
      <w:r>
        <w:rPr>
          <w:rFonts w:ascii="Times New Roman" w:hAnsi="Times New Roman"/>
          <w:b/>
          <w:i w:val="false"/>
          <w:color w:val="000000"/>
          <w:sz w:val="22"/>
        </w:rPr>
        <w:t xml:space="preserve">(17A,476) </w:t>
      </w:r>
      <w:r>
        <w:rPr>
          <w:rFonts w:ascii="Times New Roman" w:hAnsi="Times New Roman"/>
          <w:b/>
          <w:i w:val="false"/>
          <w:color w:val="000000"/>
          <w:sz w:val="22"/>
        </w:rPr>
        <w:t xml:space="preserve">Ex parte communication. </w:t>
      </w:r>
      <w:r>
        <w:rPr>
          <w:rFonts w:ascii="Times New Roman" w:hAnsi="Times New Roman"/>
          <w:b w:val="false"/>
          <w:i w:val="false"/>
          <w:color w:val="000000"/>
          <w:sz w:val="22"/>
        </w:rPr>
        <w:t xml:space="preserve">Ex parte communication is prohibited as provided in Iowa Code section </w:t>
      </w:r>
      <w:hyperlink r:id="rId5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Parties or their representatives shall not communicate directly or indirectly with the commission or presiding officer in connection with any issue of fact or law in a contested case except upon notice and an opportunity for all parties to participate. The commission or presiding officer shall not communicate directly or indirectly with parties or their representatives in connection with any issue of fact or law in a contested case except upon notice and an opportunity for all parties to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199—7.23</w:t>
      </w:r>
      <w:r>
        <w:rPr>
          <w:rFonts w:ascii="Times New Roman" w:hAnsi="Times New Roman"/>
          <w:b/>
          <w:i w:val="false"/>
          <w:color w:val="000000"/>
          <w:sz w:val="22"/>
        </w:rPr>
        <w:t xml:space="preserve">(17A,476)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 Commission or presiding officer. </w:t>
      </w:r>
      <w:r>
        <w:rPr>
          <w:rFonts w:ascii="Times New Roman" w:hAnsi="Times New Roman"/>
          <w:b w:val="false"/>
          <w:i w:val="false"/>
          <w:color w:val="000000"/>
          <w:sz w:val="22"/>
        </w:rPr>
        <w:t>The commission or presiding officer presides at the hearing and may rule on motions and issue such orders and rulings as will ensure the orderly conduct of the proceedings. The commission or presiding officer shall maintain the decorum of the hearing and may refuse to admit, may set limits on, or may expel from the hearing anyone whose conduct is disorderly.</w:t>
      </w:r>
    </w:p>
    <w:p>
      <w:pPr>
        <w:spacing w:before="0" w:after="0"/>
        <w:ind w:left="120"/>
        <w:jc w:val="both"/>
      </w:pP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r>
        <w:rPr>
          <w:rFonts w:ascii="Times New Roman" w:hAnsi="Times New Roman"/>
          <w:b w:val="false"/>
          <w:i w:val="false"/>
          <w:color w:val="000000"/>
          <w:sz w:val="22"/>
        </w:rPr>
        <w:t>Each witness shall be sworn or affirmed by the commission, presiding officer, or the court reporter and be subject to examination and cross-examination. The commission or presiding officer may limit questioning in a manner consistent with law. In appropriate circumstances, the commission or presiding officer may order that witnesses testify as members of a witness panel.</w:t>
      </w:r>
    </w:p>
    <w:p>
      <w:pPr>
        <w:spacing w:before="0" w:after="0"/>
        <w:ind w:left="120"/>
        <w:jc w:val="both"/>
      </w:pP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Order of presenting evidence. </w:t>
      </w:r>
      <w:r>
        <w:rPr>
          <w:rFonts w:ascii="Times New Roman" w:hAnsi="Times New Roman"/>
          <w:b w:val="false"/>
          <w:i w:val="false"/>
          <w:color w:val="000000"/>
          <w:sz w:val="22"/>
        </w:rPr>
        <w:t>The commission or presiding officer shall determine the order of the presentation of evidence based on applicable law and the interests of efficiency and justice, taking into account the preferences of the parties. Normally, the petitioner shall open the presentation of evidence. In cases where testimony has been prefiled, each witness shall be available for cross-examination on all testimony prefiled by or on behalf of that witness when the witness takes the stand, either alone or as a member of a witness panel.</w:t>
      </w:r>
    </w:p>
    <w:p>
      <w:pPr>
        <w:spacing w:before="0" w:after="0"/>
        <w:ind w:left="120"/>
        <w:jc w:val="both"/>
      </w:pP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Subject to terms and conditions prescribed by the commission or presiding officer, parties have the right to introduce evidence, cross-examine witnesses, and present evidence in rebuttal. Ordinarily, prefiled testimony is used in hearings pursuant to rule </w:t>
      </w:r>
      <w:hyperlink r:id="rId56">
        <w:r>
          <w:rPr>
            <w:rStyle w:val="Hyperlink"/>
            <w:rFonts w:ascii="Times New Roman" w:hAnsi="Times New Roman"/>
            <w:b w:val="false"/>
            <w:i w:val="false"/>
            <w:color w:val="000000"/>
            <w:sz w:val="22"/>
          </w:rPr>
          <w:t>199—7.10</w:t>
        </w:r>
      </w:hyperlink>
      <w:r>
        <w:rPr>
          <w:rFonts w:ascii="Times New Roman" w:hAnsi="Times New Roman"/>
          <w:b w:val="false"/>
          <w:i w:val="false"/>
          <w:color w:val="000000"/>
          <w:sz w:val="22"/>
        </w:rPr>
        <w:t>(17A,476). Nonsubstantive corrections to prefiled testimony may be made at the beginning of the testimony. However, if more than three corrections need to be made, the sponsoring party shall file corrected prefiled testimony prior to the hearing. The sponsoring party must provide one copy of prefiled testimony and included exhibits to the court reporter.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or presiding officer shall rule on admissibility of evidence and may, where appropriate, take official notice of facts in accordance with law.</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Stipulation of facts is encouraged. The commission or presiding officer may make a decision based on stipulated facts.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Unless the exhibit was previously included with prefiled testimony, the party seeking admission of an exhibit at a hearing must provide opposing parties with an opportunity to examine the exhibit prior to the ruling on its admissibility. All exhibits admitted into evidence shall be marked in accordance with the commission’s approved naming convention and made part of the evidentiary record. If an exhibit is admitted, unless it was previously included with prefiled testimony, the sponsoring party must provide at least one copy of the exhibit to each opposing party, one copy for each commission member or presiding officer, one copy for the witness (if any), one copy for the court reporter, and two copies for commission staff, unless otherwise ordered. The sponsoring party shall file the hearing exhibit in the docket in the commission’s electronic filing system within three days of the close of the hearing.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the permission of the commission or presiding officer, present the testimony. The commission or presiding officer may require the offering party to file a written statement of the excluded oral testimony. If the excluded evidence consists of a document or exhibit, it shall be marked as part of an offer of proof and inserted in the record. Unless previously included with prefiled testimony, the sponsoring party must provide at least one copy of the document or exhibit to each opposing party, one copy for each commission member or presiding officer, one copy for the witness (if any), one copy for the court reporter, and two copies for commission staff, unless otherwise ordered.</w:t>
      </w:r>
    </w:p>
    <w:p>
      <w:pPr>
        <w:spacing w:before="0" w:after="0"/>
        <w:ind w:left="120"/>
        <w:jc w:val="both"/>
      </w:pPr>
      <w:r>
        <w:rPr>
          <w:rFonts w:ascii="Times New Roman" w:hAnsi="Times New Roman"/>
          <w:b/>
          <w:i w:val="false"/>
          <w:color w:val="000000"/>
          <w:sz w:val="22"/>
        </w:rPr>
        <w:t>7.23(5)</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Any party may object to specific evidence or may request limits on the scope of any examination or cross-examination. All objections shall be timely made on the record and state the grounds relied on. The commission or presiding officer may rule on the objection at the time it is made or may reserve a ruling until the written decision.</w:t>
      </w:r>
    </w:p>
    <w:p>
      <w:pPr>
        <w:spacing w:before="0" w:after="0"/>
        <w:ind w:left="120"/>
        <w:jc w:val="both"/>
      </w:pPr>
      <w:r>
        <w:rPr>
          <w:rFonts w:ascii="Times New Roman" w:hAnsi="Times New Roman"/>
          <w:b/>
          <w:i w:val="false"/>
          <w:color w:val="000000"/>
          <w:sz w:val="22"/>
        </w:rPr>
        <w:t>7.23(6)</w:t>
      </w:r>
      <w:r>
        <w:rPr>
          <w:rFonts w:ascii="Times New Roman" w:hAnsi="Times New Roman"/>
          <w:b w:val="false"/>
          <w:i w:val="false"/>
          <w:color w:val="000000"/>
          <w:sz w:val="22"/>
        </w:rPr>
        <w:t> </w:t>
      </w:r>
      <w:r>
        <w:rPr>
          <w:rFonts w:ascii="Times New Roman" w:hAnsi="Times New Roman"/>
          <w:b w:val="false"/>
          <w:i/>
          <w:color w:val="000000"/>
          <w:sz w:val="22"/>
        </w:rPr>
        <w:t xml:space="preserve">Further evidence. </w:t>
      </w:r>
      <w:r>
        <w:rPr>
          <w:rFonts w:ascii="Times New Roman" w:hAnsi="Times New Roman"/>
          <w:b w:val="false"/>
          <w:i w:val="false"/>
          <w:color w:val="000000"/>
          <w:sz w:val="22"/>
        </w:rPr>
        <w:t>At any stage during or after the hearing, the commission or presiding officer may order a party to present additional evidence and may conduct additional proceedings as appropriate.</w:t>
      </w:r>
    </w:p>
    <w:p>
      <w:pPr>
        <w:spacing w:before="0" w:after="0"/>
        <w:ind w:left="120"/>
        <w:jc w:val="both"/>
      </w:pPr>
      <w:r>
        <w:rPr>
          <w:rFonts w:ascii="Times New Roman" w:hAnsi="Times New Roman"/>
          <w:b/>
          <w:i w:val="false"/>
          <w:color w:val="000000"/>
          <w:sz w:val="22"/>
        </w:rPr>
        <w:t>7.23(7)</w:t>
      </w:r>
      <w:r>
        <w:rPr>
          <w:rFonts w:ascii="Times New Roman" w:hAnsi="Times New Roman"/>
          <w:b w:val="false"/>
          <w:i w:val="false"/>
          <w:color w:val="000000"/>
          <w:sz w:val="22"/>
        </w:rPr>
        <w:t> </w:t>
      </w:r>
      <w:r>
        <w:rPr>
          <w:rFonts w:ascii="Times New Roman" w:hAnsi="Times New Roman"/>
          <w:b w:val="false"/>
          <w:i/>
          <w:color w:val="000000"/>
          <w:sz w:val="22"/>
        </w:rPr>
        <w:t xml:space="preserve">Participation at hearings by nonparties. </w:t>
      </w:r>
      <w:r>
        <w:rPr>
          <w:rFonts w:ascii="Times New Roman" w:hAnsi="Times New Roman"/>
          <w:b w:val="false"/>
          <w:i w:val="false"/>
          <w:color w:val="000000"/>
          <w:sz w:val="22"/>
        </w:rPr>
        <w:t xml:space="preserve">The commission or presiding officer may permit any person to be heard at any hearing, but such person shall not be a party to the proceedings unless so designated. The testimony or statement of any person so appearing shall be given under oath and such person shall be subject to cross-examination by parties to the proceeding, unless the commission or presiding officer orders otherwise. If a person who is not a party to a proceeding appears at a hearing and requests to examine or cross-examine witnesses, the commission or presiding officer may grant the person intervention in the proceeding as a party for the limited purpose requested by the person and in compliance with </w:t>
      </w:r>
      <w:hyperlink r:id="rId57">
        <w:r>
          <w:rPr>
            <w:rStyle w:val="Hyperlink"/>
            <w:rFonts w:ascii="Times New Roman" w:hAnsi="Times New Roman"/>
            <w:b w:val="false"/>
            <w:i w:val="false"/>
            <w:color w:val="000000"/>
            <w:sz w:val="22"/>
          </w:rPr>
          <w:t>subrule 7.4(8)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7.23(8)</w:t>
      </w:r>
      <w:r>
        <w:rPr>
          <w:rFonts w:ascii="Times New Roman" w:hAnsi="Times New Roman"/>
          <w:b w:val="false"/>
          <w:i w:val="false"/>
          <w:color w:val="000000"/>
          <w:sz w:val="22"/>
        </w:rPr>
        <w:t> </w:t>
      </w:r>
      <w:r>
        <w:rPr>
          <w:rFonts w:ascii="Times New Roman" w:hAnsi="Times New Roman"/>
          <w:b w:val="false"/>
          <w:i/>
          <w:color w:val="000000"/>
          <w:sz w:val="22"/>
        </w:rPr>
        <w:t xml:space="preserve">Briefs.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Unless waived by the parties with the consent of the commission or presiding officer, the commission or presiding officer shall set times for the filing and service of briefs. Unless otherwise ordered by the commission or presiding officer, initial briefs shall be filed simultaneously by all parties and reply briefs shall be filed simultaneously.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Initial briefs shall contain a concise statement of the case. Arguments based on evidence introduced during the proceeding shall specify the portions of the record where the evidence is found. Initial briefs shall include all arguments the party intends to offer in support of its case and against the record case of the adverse party or parties. Unless otherwise ordered, a reply brief shall be confined to refuting arguments made in the brief of an adverse party. Unless specifically ordered to brief an issue, a party’s failure to address an issue by brief shall not be deemed a waiver of that issue and shall not preclude the commission or presiding officer from deciding the issue on the basis of evidence appearing in the record.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Every brief of more than 20 pages shall contain on its front leaves a table of contents with page references. Each party’s initial brief shall not exceed 90 pages and each subsequent brief shall not exceed 40 pages, exclusive of the table of contents, unless otherwise ordered. Such orders may be issued ex parte. A brief that exceeds these page limits shall be deemed a defective filing and may be rejected as provided in subrule </w:t>
      </w:r>
      <w:hyperlink r:id="rId58">
        <w:r>
          <w:rPr>
            <w:rStyle w:val="Hyperlink"/>
            <w:rFonts w:ascii="Times New Roman" w:hAnsi="Times New Roman"/>
            <w:b w:val="false"/>
            <w:i w:val="false"/>
            <w:color w:val="000000"/>
            <w:sz w:val="22"/>
          </w:rPr>
          <w:t>7.4(5)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Briefs shall comply with the following requirements.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size of pages shall be 8½ by 11 inches.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printed matter must appear in at least 11-point type.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There shall be margins of at least one inch on the top, bottom, right, and left sides of the sheet.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body of the brief shall be double-spaced.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Footnotes may be single-spaced but shall not exceed one-half page in length.</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printed matter may appear in any pitch, as long as the characters are spaced in a readable manner. Any readable font is acceptable.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Briefs filed electronically shall comply with the requirements in this paragraph and the standards for electronic information available on the commission’s website or in the commission’s records and information center.</w:t>
      </w:r>
    </w:p>
    <w:p>
      <w:pPr>
        <w:spacing w:before="0" w:after="0"/>
        <w:ind w:left="120"/>
        <w:jc w:val="both"/>
      </w:pPr>
      <w:r>
        <w:rPr>
          <w:rFonts w:ascii="Times New Roman" w:hAnsi="Times New Roman"/>
          <w:b/>
          <w:i w:val="false"/>
          <w:color w:val="000000"/>
          <w:sz w:val="22"/>
        </w:rPr>
        <w:t>7.23(9)</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The commission or presiding officer may set a time for oral argument to address issues raised by the parties during the proceeding or at the conclusion of the hearing or may set a separate date and time for oral argument. The commission or presiding officer may set a time limit for argument. Oral argument may be either in addition to or in lieu of briefs. Unless specifically ordered to argue an issue, a party’s failure to address an issue in oral argument shall not be deemed a waiver of the issue.</w:t>
      </w:r>
    </w:p>
    <w:p>
      <w:pPr>
        <w:spacing w:before="0" w:after="0"/>
        <w:ind w:left="120"/>
        <w:jc w:val="both"/>
      </w:pPr>
      <w:r>
        <w:rPr>
          <w:rFonts w:ascii="Times New Roman" w:hAnsi="Times New Roman"/>
          <w:b/>
          <w:i w:val="false"/>
          <w:color w:val="000000"/>
          <w:sz w:val="22"/>
        </w:rPr>
        <w:t>7.23(10)</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of the case is maintained in the commission’s electronic filing system. Unless the record is held confidential pursuant to </w:t>
      </w:r>
      <w:hyperlink r:id="rId59">
        <w:r>
          <w:rPr>
            <w:rStyle w:val="Hyperlink"/>
            <w:rFonts w:ascii="Times New Roman" w:hAnsi="Times New Roman"/>
            <w:b w:val="false"/>
            <w:i w:val="false"/>
            <w:color w:val="000000"/>
            <w:sz w:val="22"/>
          </w:rPr>
          <w:t>199—1.9(22)</w:t>
        </w:r>
      </w:hyperlink>
      <w:r>
        <w:rPr>
          <w:rFonts w:ascii="Times New Roman" w:hAnsi="Times New Roman"/>
          <w:b w:val="false"/>
          <w:i w:val="false"/>
          <w:color w:val="000000"/>
          <w:sz w:val="22"/>
        </w:rPr>
        <w:t xml:space="preserve">, parties and members of the public may examine the record and obtain copies of documents, including the transcript, when available. </w:t>
      </w:r>
    </w:p>
    <w:p>
      <w:pPr>
        <w:spacing w:before="0" w:after="0"/>
        <w:ind w:left="120"/>
        <w:jc w:val="both"/>
      </w:pPr>
      <w:r>
        <w:rPr>
          <w:rFonts w:ascii="Times New Roman" w:hAnsi="Times New Roman"/>
          <w:b/>
          <w:i w:val="false"/>
          <w:color w:val="000000"/>
          <w:sz w:val="22"/>
        </w:rPr>
        <w:t>7.23(11)</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party fails to appear at a hearing after proper service of notice, or fails to answer or otherwise respond to an appropriate pleading directed to and properly served upon that party, the commission or presiding officer may, if no adjournment is granted, enter a default decision or proceed with the hearing and render a decision in the absence of the party.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Default decisions or decisions rendered on the merits after a party has failed to appear at a hearing constitute final agency action unless otherwise ordered by the commission or presiding officer. However, within 15 days after the date of electronic notification or mailing of the decision, a motion to vacate may be filed with the commission. The motion to vacate must state all facts relied on by the moving party that show good cause existed for that party’s failure to appear at the hearing or answer or otherwise respond to an appropriate pleading directed to and properly served upon that party. The stated facts must be substantiated by affidavit attached to the motion. Unless otherwise ordered, adverse parties shall have ten days to respond to a motion to vacate. If the decision is rendered by a presiding officer, the commission may review it on the commission’s own motion within 15 days after the date of notification or mailing of the decision.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for appeal of a decision for which a timely motion to vacate has been filed is stayed pending a decision on the motion to vacate.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Properly substantiated and timely filed motions to vacate shall be granted for good cause shown. The burden of proof as to good cause is on the moving party. “Good cause” for purposes of this rule shall have the same meaning as “good cause” for setting aside a default judgment under Iowa Rule of Civil Procedure 1.977.</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presiding officer’s decision denying a motion to vacate is subject to further appeal within the time limit allowed for further appeal of a decision on the merits in the contested case. A presiding officer’s decision granting a motion to vacate is subject to interlocutory appeal by the adverse party pursuant to rule </w:t>
      </w:r>
      <w:hyperlink r:id="rId60">
        <w:r>
          <w:rPr>
            <w:rStyle w:val="Hyperlink"/>
            <w:rFonts w:ascii="Times New Roman" w:hAnsi="Times New Roman"/>
            <w:b w:val="false"/>
            <w:i w:val="false"/>
            <w:color w:val="000000"/>
            <w:sz w:val="22"/>
          </w:rPr>
          <w:t>199—7.25</w:t>
        </w:r>
      </w:hyperlink>
      <w:r>
        <w:rPr>
          <w:rFonts w:ascii="Times New Roman" w:hAnsi="Times New Roman"/>
          <w:b w:val="false"/>
          <w:i w:val="false"/>
          <w:color w:val="000000"/>
          <w:sz w:val="22"/>
        </w:rPr>
        <w:t>(17A,476).</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motion to vacate is granted and no timely interlocutory appeal has been taken, the commission or presiding officer shall schedule another hearing and the contested case shall proceed accordingly.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default decision may award any relief consistent with the record in the case. The default decision may provide either that the default decision is to be stayed pending a timely motion to vacate or that the default decision is to take effect immediately, subject to a timely motion to vacate, an appeal pursuant to rule </w:t>
      </w:r>
      <w:hyperlink r:id="rId61">
        <w:r>
          <w:rPr>
            <w:rStyle w:val="Hyperlink"/>
            <w:rFonts w:ascii="Times New Roman" w:hAnsi="Times New Roman"/>
            <w:b w:val="false"/>
            <w:i w:val="false"/>
            <w:color w:val="000000"/>
            <w:sz w:val="22"/>
          </w:rPr>
          <w:t>199—7.26</w:t>
        </w:r>
      </w:hyperlink>
      <w:r>
        <w:rPr>
          <w:rFonts w:ascii="Times New Roman" w:hAnsi="Times New Roman"/>
          <w:b w:val="false"/>
          <w:i w:val="false"/>
          <w:color w:val="000000"/>
          <w:sz w:val="22"/>
        </w:rPr>
        <w:t xml:space="preserve">(17A,476), or a request for stay pursuant to rule </w:t>
      </w:r>
      <w:hyperlink r:id="rId62">
        <w:r>
          <w:rPr>
            <w:rStyle w:val="Hyperlink"/>
            <w:rFonts w:ascii="Times New Roman" w:hAnsi="Times New Roman"/>
            <w:b w:val="false"/>
            <w:i w:val="false"/>
            <w:color w:val="000000"/>
            <w:sz w:val="22"/>
          </w:rPr>
          <w:t>199—7.28</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199—7.24</w:t>
      </w:r>
      <w:r>
        <w:rPr>
          <w:rFonts w:ascii="Times New Roman" w:hAnsi="Times New Roman"/>
          <w:b/>
          <w:i w:val="false"/>
          <w:color w:val="000000"/>
          <w:sz w:val="22"/>
        </w:rPr>
        <w:t xml:space="preserve">(17A,476) </w:t>
      </w:r>
      <w:r>
        <w:rPr>
          <w:rFonts w:ascii="Times New Roman" w:hAnsi="Times New Roman"/>
          <w:b/>
          <w:i w:val="false"/>
          <w:color w:val="000000"/>
          <w:sz w:val="22"/>
        </w:rPr>
        <w:t xml:space="preserve">Reopening record. </w:t>
      </w:r>
      <w:r>
        <w:rPr>
          <w:rFonts w:ascii="Times New Roman" w:hAnsi="Times New Roman"/>
          <w:b w:val="false"/>
          <w:i w:val="false"/>
          <w:color w:val="000000"/>
          <w:sz w:val="22"/>
        </w:rPr>
        <w:t>The commission or presiding officer, on the commission’s or presiding officer’s own motion or on the motion of a party, may reopen the record for the reception of further evidence. When the record was made before the commission, a motion to reopen the record may be made any time prior to the issuance of a final decision. When the record was made before a presiding officer, a motion to reopen the record shall be made prior to issuance of the proposed decision. Affidavits of witnesses who will present new evidence shall be attached to the motion and shall include an explanation of the competence of the witness to sponsor the evidence and a description of the evidence to be included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199—7.25</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may consider the extent to which granting the interlocutory appeal would expedite final resolution of the case and the extent to which review of that interlocutory order by the commission at the time it reviews the proposed decision would provide an adequate remedy. Any request for interlocutory review must be filed within ten days of issuance of the challenged order, but no later than the time for compliance with the order or ten days prior to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199—7.26</w:t>
      </w:r>
      <w:r>
        <w:rPr>
          <w:rFonts w:ascii="Times New Roman" w:hAnsi="Times New Roman"/>
          <w:b/>
          <w:i w:val="false"/>
          <w:color w:val="000000"/>
          <w:sz w:val="22"/>
        </w:rPr>
        <w:t xml:space="preserve">(17A,476) </w:t>
      </w:r>
      <w:r>
        <w:rPr>
          <w:rFonts w:ascii="Times New Roman" w:hAnsi="Times New Roman"/>
          <w:b/>
          <w:i w:val="false"/>
          <w:color w:val="000000"/>
          <w:sz w:val="22"/>
        </w:rPr>
        <w:t xml:space="preserve">Appeals to commission from a proposed decision of a presiding officer. </w:t>
      </w:r>
    </w:p>
    <w:p>
      <w:pPr>
        <w:spacing w:before="0" w:after="0"/>
        <w:ind w:left="120"/>
        <w:jc w:val="both"/>
      </w:pP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val="false"/>
          <w:color w:val="000000"/>
          <w:sz w:val="22"/>
        </w:rPr>
        <w:t>Notification of proposed decision. Notice of the presiding officer’s proposed decision and order in a contested case shall be sent through the electronic filing system, or by first-class mail if the commission has granted a party approval to receive service in paper, on the date the order is issued. The decision shall normally include “Proposed Decision and Order” in the title and shall normally inform the parties of their right to appeal an adverse decision and the time in which an appeal must be taken.</w:t>
      </w:r>
    </w:p>
    <w:p>
      <w:pPr>
        <w:spacing w:before="0" w:after="0"/>
        <w:ind w:left="120"/>
        <w:jc w:val="both"/>
      </w:pP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val="false"/>
          <w:color w:val="000000"/>
          <w:sz w:val="22"/>
        </w:rPr>
        <w:t>Appeal from proposed decision. A proposed decision and order of the presiding officer in a contested case shall become the final decision of the commission unless, within 15 days after the decision is issued, the commission moves to review the decision or a party files an appeal of the decision with the commission. The presiding officer may shorten the time for appeal. In determining whether a request for a shortened appeal period should be granted, the presiding officer may consider the needs of the parties for a shortened appeal period, relevant objections of the parties, the relevance of any written objections filed in the case, and whether there are any issues that indicate a need for the 15-day appeal period.</w:t>
      </w:r>
    </w:p>
    <w:p>
      <w:pPr>
        <w:spacing w:before="0" w:after="0"/>
        <w:ind w:left="120"/>
        <w:jc w:val="both"/>
      </w:pP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adversely affected party may appeal a proposed decision by timely filing a notice of appeal. The notice of appeal shall be electronically filed unless the appellant has received permission from the commission to submit paper filings. </w:t>
      </w:r>
    </w:p>
    <w:p>
      <w:pPr>
        <w:spacing w:before="0" w:after="0"/>
        <w:ind w:left="120"/>
        <w:jc w:val="both"/>
      </w:pP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val="false"/>
          <w:color w:val="000000"/>
          <w:sz w:val="22"/>
        </w:rPr>
        <w:t>On appeal of a proposed decision of a presiding officer that is based upon new evidence not introduced in the record before the presiding officer, the commission shall determine whether the new evidence requires a new hearing. If the commission determines that the new evidence is material to the proposed decision and a new hearing should be held, the commission may remand the proposed decision to the presiding officer for the taking of the new evidence or may conduct a hearing and issue an order based upon the record before the presiding officer and the new evidence.</w:t>
      </w:r>
    </w:p>
    <w:p>
      <w:pPr>
        <w:spacing w:before="0" w:after="0"/>
        <w:ind w:left="120"/>
        <w:jc w:val="both"/>
      </w:pPr>
      <w:r>
        <w:rPr>
          <w:rFonts w:ascii="Times New Roman" w:hAnsi="Times New Roman"/>
          <w:b/>
          <w:i w:val="false"/>
          <w:color w:val="000000"/>
          <w:sz w:val="22"/>
        </w:rPr>
        <w:t>7.26(5)</w:t>
      </w:r>
      <w:r>
        <w:rPr>
          <w:rFonts w:ascii="Times New Roman" w:hAnsi="Times New Roman"/>
          <w:b w:val="false"/>
          <w:i w:val="false"/>
          <w:color w:val="000000"/>
          <w:sz w:val="22"/>
        </w:rPr>
        <w:t> </w:t>
      </w:r>
      <w:r>
        <w:rPr>
          <w:rFonts w:ascii="Times New Roman" w:hAnsi="Times New Roman"/>
          <w:b w:val="false"/>
          <w:i w:val="false"/>
          <w:color w:val="000000"/>
          <w:sz w:val="22"/>
        </w:rPr>
        <w:t>Contents of notice of appeal. The notice of appeal shall include the following in separately numbered paragraphs supported, where applicable, by controlling statutes and rules.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brief statement of the facts.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brief statement of the history of the proceeding, including the date and a description of any ruling claimed to be erroneous.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of each of the issues to be presented for review.</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precise description of the error(s) upon which the appeal is based. If a claim of error is based on allegations that the presiding officer failed to correctly interpret the law governing the proceeding, exceeded the authority of a presiding officer, or otherwise failed to act in accordance with law, the appellant shall include a citation to briefs or other documents filed in the proceeding before the presiding officer where the legal points raised in the appeal were discussed. If a claim of error is based on allegations that the presiding officer failed to give adequate consideration to evidence introduced at hearing, the appellant shall include a citation to pages of the transcript or other documents where the evidence appears.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precise statement of the relief requested.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as to whether an opportunity to file a brief or make oral argument in support of the appeal is requested and, if an opportunity is sought, a statement explaining the manner in which briefs and arguments presented to the presiding officer are inadequate for purposes of appeal.</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a party wishes to request a stay or other temporary remedy pending review of the proposed decision by the commission, the request shall state the reasons justifying a stay or other temporary remedy and shall address the factors listed in Iowa Code section </w:t>
      </w:r>
      <w:hyperlink r:id="rId63">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Certification of service showing the names and addresses of all parties upon whom a copy of the notice of appeal was served.</w:t>
      </w:r>
    </w:p>
    <w:p>
      <w:pPr>
        <w:spacing w:before="0" w:after="0"/>
        <w:ind w:left="120"/>
        <w:jc w:val="both"/>
      </w:pPr>
      <w:r>
        <w:rPr>
          <w:rFonts w:ascii="Times New Roman" w:hAnsi="Times New Roman"/>
          <w:b/>
          <w:i w:val="false"/>
          <w:color w:val="000000"/>
          <w:sz w:val="22"/>
        </w:rPr>
        <w:t>7.26(6)</w:t>
      </w:r>
      <w:r>
        <w:rPr>
          <w:rFonts w:ascii="Times New Roman" w:hAnsi="Times New Roman"/>
          <w:b w:val="false"/>
          <w:i w:val="false"/>
          <w:color w:val="000000"/>
          <w:sz w:val="22"/>
        </w:rPr>
        <w:t> </w:t>
      </w:r>
      <w:r>
        <w:rPr>
          <w:rFonts w:ascii="Times New Roman" w:hAnsi="Times New Roman"/>
          <w:b w:val="false"/>
          <w:i w:val="false"/>
          <w:color w:val="000000"/>
          <w:sz w:val="22"/>
        </w:rPr>
        <w:t>Responsive filings and cross-appeals. If parties wish to respond to the notice of appeal, or file a cross-appeal, they must file the response or notice of cross-appeal within 14 days after the filing of the notice of appeal unless otherwise ordered by the commission. If a request for a stay or other temporary remedy was included in the notice of appeal, any party wishing to respond to the request shall include the response to the request in the party’s response to the notice of appeal or notice of cross-appeal. When a statutory or other provision of law requires the commission to issue a decision in the case in less than six months, the response or cross-appeal must be filed within seven days of filing the notice of appeal.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Responses shall specifically respond to each of the substantive paragraphs of the notice of appeal and shall state whether an opportunity to file responsive briefs or to participate in oral argument is requested.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Parties who file a cross-appeal must comply with the requirements for filing a notice of appeal contained in this rule, other than the requirement to file notice of the cross-appeal within 15 days after the proposed decision is issued.</w:t>
      </w:r>
    </w:p>
    <w:p>
      <w:pPr>
        <w:spacing w:before="0" w:after="0"/>
        <w:ind w:left="120"/>
        <w:jc w:val="both"/>
      </w:pPr>
      <w:r>
        <w:rPr>
          <w:rFonts w:ascii="Times New Roman" w:hAnsi="Times New Roman"/>
          <w:b/>
          <w:i w:val="false"/>
          <w:color w:val="000000"/>
          <w:sz w:val="22"/>
        </w:rPr>
        <w:t>7.26(7)</w:t>
      </w:r>
      <w:r>
        <w:rPr>
          <w:rFonts w:ascii="Times New Roman" w:hAnsi="Times New Roman"/>
          <w:b w:val="false"/>
          <w:i w:val="false"/>
          <w:color w:val="000000"/>
          <w:sz w:val="22"/>
        </w:rPr>
        <w:t> </w:t>
      </w:r>
      <w:r>
        <w:rPr>
          <w:rFonts w:ascii="Times New Roman" w:hAnsi="Times New Roman"/>
          <w:b w:val="false"/>
          <w:i w:val="false"/>
          <w:color w:val="000000"/>
          <w:sz w:val="22"/>
        </w:rPr>
        <w:t xml:space="preserve">Ruling on appeal. After the filing of the last appeal, response, or cross-appeal, the commission shall issue an order that may establish a procedural schedule for the appeal or may be the commission’s final decision on the merits of the appeal. If a request for a stay or other temporary remedy was included in the notice of appeal, the request shall be evaluated by the commission using the factors stated in rule </w:t>
      </w:r>
      <w:hyperlink r:id="rId64">
        <w:r>
          <w:rPr>
            <w:rStyle w:val="Hyperlink"/>
            <w:rFonts w:ascii="Times New Roman" w:hAnsi="Times New Roman"/>
            <w:b w:val="false"/>
            <w:i w:val="false"/>
            <w:color w:val="000000"/>
            <w:sz w:val="22"/>
          </w:rPr>
          <w:t>199—7.28</w:t>
        </w:r>
      </w:hyperlink>
      <w:r>
        <w:rPr>
          <w:rFonts w:ascii="Times New Roman" w:hAnsi="Times New Roman"/>
          <w:b w:val="false"/>
          <w:i w:val="false"/>
          <w:color w:val="000000"/>
          <w:sz w:val="22"/>
        </w:rPr>
        <w:t>(17A,476). 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199—7.27</w:t>
      </w:r>
      <w:r>
        <w:rPr>
          <w:rFonts w:ascii="Times New Roman" w:hAnsi="Times New Roman"/>
          <w:b/>
          <w:i w:val="false"/>
          <w:color w:val="000000"/>
          <w:sz w:val="22"/>
        </w:rPr>
        <w:t xml:space="preserve">(17A,476) </w:t>
      </w:r>
      <w:r>
        <w:rPr>
          <w:rFonts w:ascii="Times New Roman" w:hAnsi="Times New Roman"/>
          <w:b/>
          <w:i w:val="false"/>
          <w:color w:val="000000"/>
          <w:sz w:val="22"/>
        </w:rPr>
        <w:t xml:space="preserve">Rehearing and reconsideration. </w:t>
      </w:r>
    </w:p>
    <w:p>
      <w:pPr>
        <w:spacing w:before="0" w:after="0"/>
        <w:ind w:left="120"/>
        <w:jc w:val="both"/>
      </w:pP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or reconsideration. </w:t>
      </w:r>
      <w:r>
        <w:rPr>
          <w:rFonts w:ascii="Times New Roman" w:hAnsi="Times New Roman"/>
          <w:b w:val="false"/>
          <w:i w:val="false"/>
          <w:color w:val="000000"/>
          <w:sz w:val="22"/>
        </w:rPr>
        <w:t>Any party to a contested case may file an application for rehearing or reconsideration of the final decision. The application for rehearing or reconsideration shall be filed within 20 days after the final decision in the contested case is issued. This subrule shall not be construed as prohibiting reconsideration of commission orders in other than contested cases. The commission shall either grant or refuse an application for rehearing within 30 days after the filing of the application or may, after giving the interested parties notice and opportunity to be heard and after consideration of all the facts, including those arising since the making of the order, abrogate or modify its order. A failure by the commission to act upon the application for rehearing within the above period shall be deemed a refusal of the application.</w:t>
      </w:r>
    </w:p>
    <w:p>
      <w:pPr>
        <w:spacing w:before="0" w:after="0"/>
        <w:ind w:left="120"/>
        <w:jc w:val="both"/>
      </w:pP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 xml:space="preserve">Applications for rehearing or reconsideration shall specify the findings of fact and conclusions of law claimed to be erroneous, with a brief statement of the alleged grounds of error. Any application for rehearing or reconsideration asserting that evidence has arisen since the final order was issued as a ground for rehearing or reconsideration shall present the evidence by affidavit that includes an explanation of the competence of the person to sponsor the evidence and a brief description of the evidence sought to be included. </w:t>
      </w:r>
    </w:p>
    <w:p>
      <w:pPr>
        <w:spacing w:before="0" w:after="0"/>
        <w:ind w:left="120"/>
        <w:jc w:val="both"/>
      </w:pP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objections to applications for rehearing or reconsideration. </w:t>
      </w:r>
      <w:r>
        <w:rPr>
          <w:rFonts w:ascii="Times New Roman" w:hAnsi="Times New Roman"/>
          <w:b w:val="false"/>
          <w:i w:val="false"/>
          <w:color w:val="000000"/>
          <w:sz w:val="22"/>
        </w:rPr>
        <w:t xml:space="preserve">Notwithstanding the provisions of </w:t>
      </w:r>
      <w:hyperlink r:id="rId65">
        <w:r>
          <w:rPr>
            <w:rStyle w:val="Hyperlink"/>
            <w:rFonts w:ascii="Times New Roman" w:hAnsi="Times New Roman"/>
            <w:b w:val="false"/>
            <w:i w:val="false"/>
            <w:color w:val="000000"/>
            <w:sz w:val="22"/>
          </w:rPr>
          <w:t>subrule 7.9(2)</w:t>
        </w:r>
      </w:hyperlink>
      <w:r>
        <w:rPr>
          <w:rFonts w:ascii="Times New Roman" w:hAnsi="Times New Roman"/>
          <w:b w:val="false"/>
          <w:i w:val="false"/>
          <w:color w:val="000000"/>
          <w:sz w:val="22"/>
        </w:rPr>
        <w:t xml:space="preserve">, an answer or objection to an application for a rehearing or reconsideration must be filed within 14 days of the date the application was filed with the commission unless otherwise ordered by the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199—7.28</w:t>
      </w:r>
      <w:r>
        <w:rPr>
          <w:rFonts w:ascii="Times New Roman" w:hAnsi="Times New Roman"/>
          <w:b/>
          <w:i w:val="false"/>
          <w:color w:val="000000"/>
          <w:sz w:val="22"/>
        </w:rPr>
        <w:t xml:space="preserve">(17A,476) </w:t>
      </w:r>
      <w:r>
        <w:rPr>
          <w:rFonts w:ascii="Times New Roman" w:hAnsi="Times New Roman"/>
          <w:b/>
          <w:i w:val="false"/>
          <w:color w:val="000000"/>
          <w:sz w:val="22"/>
        </w:rPr>
        <w:t xml:space="preserve">Stay of agency decision. </w:t>
      </w:r>
    </w:p>
    <w:p>
      <w:pPr>
        <w:spacing w:before="0" w:after="0"/>
        <w:ind w:left="120"/>
        <w:jc w:val="both"/>
      </w:pP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contested case proceeding may petition the commission for a stay or other temporary remedy pending judicial review of the proceeding. The petition shall state the reasons justifying a stay or other temporary remedy and be served on all other parties pursuant to subrule </w:t>
      </w:r>
      <w:hyperlink r:id="rId66">
        <w:r>
          <w:rPr>
            <w:rStyle w:val="Hyperlink"/>
            <w:rFonts w:ascii="Times New Roman" w:hAnsi="Times New Roman"/>
            <w:b w:val="false"/>
            <w:i w:val="false"/>
            <w:color w:val="000000"/>
            <w:sz w:val="22"/>
          </w:rPr>
          <w:t>7.4(6)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stay, the commission shall consider the factors listed in Iowa Code section </w:t>
      </w:r>
      <w:hyperlink r:id="rId67">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(c).</w:t>
      </w:r>
    </w:p>
    <w:p>
      <w:pPr>
        <w:spacing w:before="0" w:after="0"/>
        <w:ind w:left="120"/>
        <w:jc w:val="both"/>
      </w:pP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val="false"/>
          <w:color w:val="000000"/>
          <w:sz w:val="22"/>
        </w:rPr>
        <w:t>A stay or other temporary remedy may be vacated by the commission upon application of any party or upon the commission’s own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4893C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199—7.29</w:t>
      </w:r>
      <w:r>
        <w:rPr>
          <w:rFonts w:ascii="Times New Roman" w:hAnsi="Times New Roman"/>
          <w:b/>
          <w:i w:val="false"/>
          <w:color w:val="000000"/>
          <w:sz w:val="22"/>
        </w:rPr>
        <w:t xml:space="preserve">(17A,476)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an emergency adjudicative order in compliance with Iowa Code section </w:t>
      </w:r>
      <w:hyperlink r:id="rId68">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order the cessation of any continuing activity, order affirmative action, or take other action within the jurisdiction of the agency. Before issuing an emergency adjudicative order, the commission may consider factors including, but not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there has been a sufficient factual investigation to provide reasonably reliable information under the circumstances;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specific circumstances that pose immediate danger to the public health, safety, or welfare are likely to be continuing;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emergency adjudicative order shall contain findings of fact, conclusions of law, and policy reasons for the decision if it is an exercise of the commission’s discretion, to justify the determination of an immediate danger and the commission’s decision to take immediate action.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written emergency adjudicative order shall be immediately delivered to persons who are required to comply with the order by the most reasonably available method, which may include one or more of the following methods: notice through the electronic filing system; personal delivery; certified mail; first-class mail; fax; or email. To the degree practical, the commission shall select the method or methods most likely to result in prompt, reliable delivery.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Unless the written emergency adjudicative order is delivered by personal service on the day issued, the commission shall make reasonable efforts to contact the persons who are required to comply with the order by telephone, in person, or otherwise.</w:t>
      </w:r>
    </w:p>
    <w:p>
      <w:pPr>
        <w:spacing w:before="0" w:after="0"/>
        <w:ind w:left="120"/>
        <w:jc w:val="both"/>
      </w:pP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Issuance and delivery of a written emergency adjudicative order will normally include notification of a procedural schedule for completion of the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70">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February 18, 1966]</w:t>
      </w:r>
    </w:p>
    <w:p>
      <w:pPr>
        <w:spacing w:before="0" w:after="0"/>
        <w:ind w:left="120"/>
        <w:jc w:val="center"/>
      </w:pPr>
      <w:r>
        <w:rPr>
          <w:rFonts w:ascii="Times New Roman" w:hAnsi="Times New Roman"/>
          <w:b w:val="false"/>
          <w:i w:val="false"/>
          <w:color w:val="000000"/>
          <w:sz w:val="21"/>
        </w:rPr>
        <w:t>[Filed without Notice 10/8/75—published 10/20/75]</w:t>
      </w:r>
    </w:p>
    <w:p>
      <w:pPr>
        <w:spacing w:before="0" w:after="0"/>
        <w:ind w:left="120"/>
        <w:jc w:val="center"/>
      </w:pPr>
      <w:r>
        <w:rPr>
          <w:rFonts w:ascii="Times New Roman" w:hAnsi="Times New Roman"/>
          <w:b w:val="false"/>
          <w:i w:val="false"/>
          <w:color w:val="000000"/>
          <w:sz w:val="21"/>
        </w:rPr>
        <w:t>[Filed 2/11/76, Notice 7/14/76—published 2/23/76, effective 3/29/76]</w:t>
      </w:r>
    </w:p>
    <w:p>
      <w:pPr>
        <w:spacing w:before="0" w:after="0"/>
        <w:ind w:left="120"/>
        <w:jc w:val="center"/>
      </w:pPr>
      <w:r>
        <w:rPr>
          <w:rFonts w:ascii="Times New Roman" w:hAnsi="Times New Roman"/>
          <w:b w:val="false"/>
          <w:i w:val="false"/>
          <w:color w:val="000000"/>
          <w:sz w:val="21"/>
        </w:rPr>
        <w:t>[Filed emergency 8/10/77 after Notice 6/1/77—published 9/7/77, effective 8/10/77]</w:t>
      </w:r>
    </w:p>
    <w:p>
      <w:pPr>
        <w:spacing w:before="0" w:after="0"/>
        <w:ind w:left="120"/>
        <w:jc w:val="center"/>
      </w:pPr>
      <w:r>
        <w:rPr>
          <w:rFonts w:ascii="Times New Roman" w:hAnsi="Times New Roman"/>
          <w:b w:val="false"/>
          <w:i w:val="false"/>
          <w:color w:val="000000"/>
          <w:sz w:val="21"/>
        </w:rPr>
        <w:t>[Filed 8/7/78, Notice 2/8/78—published 9/6/78, effective 10/11/78]</w:t>
      </w:r>
    </w:p>
    <w:p>
      <w:pPr>
        <w:spacing w:before="0" w:after="0"/>
        <w:ind w:left="120"/>
        <w:jc w:val="center"/>
      </w:pPr>
      <w:r>
        <w:rPr>
          <w:rFonts w:ascii="Times New Roman" w:hAnsi="Times New Roman"/>
          <w:b w:val="false"/>
          <w:i w:val="false"/>
          <w:color w:val="000000"/>
          <w:sz w:val="21"/>
        </w:rPr>
        <w:t>[Filed emergency 9/18/78—published 10/4/78, effective 10/11/78]</w:t>
      </w:r>
    </w:p>
    <w:p>
      <w:pPr>
        <w:spacing w:before="0" w:after="0"/>
        <w:ind w:left="120"/>
        <w:jc w:val="center"/>
      </w:pPr>
      <w:r>
        <w:rPr>
          <w:rFonts w:ascii="Times New Roman" w:hAnsi="Times New Roman"/>
          <w:b w:val="false"/>
          <w:i w:val="false"/>
          <w:color w:val="000000"/>
          <w:sz w:val="21"/>
        </w:rPr>
        <w:t>[Filed emergency 6/30/81 after Notice 3/4/81—published 7/22/81, effective 7/1/81]</w:t>
      </w:r>
    </w:p>
    <w:p>
      <w:pPr>
        <w:spacing w:before="0" w:after="0"/>
        <w:ind w:left="120"/>
        <w:jc w:val="center"/>
      </w:pPr>
      <w:r>
        <w:rPr>
          <w:rFonts w:ascii="Times New Roman" w:hAnsi="Times New Roman"/>
          <w:b w:val="false"/>
          <w:i w:val="false"/>
          <w:color w:val="000000"/>
          <w:sz w:val="21"/>
        </w:rPr>
        <w:t>[Filed emergency 7/10/81—published 8/5/81, effective 7/10/81]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8/28/81, Notice 7/8/81—published 9/16/81, effective 10/21/81]</w:t>
      </w:r>
    </w:p>
    <w:p>
      <w:pPr>
        <w:spacing w:before="0" w:after="0"/>
        <w:ind w:left="120"/>
        <w:jc w:val="center"/>
      </w:pPr>
      <w:r>
        <w:rPr>
          <w:rFonts w:ascii="Times New Roman" w:hAnsi="Times New Roman"/>
          <w:b w:val="false"/>
          <w:i w:val="false"/>
          <w:color w:val="000000"/>
          <w:sz w:val="21"/>
        </w:rPr>
        <w:t>[Filed 10/20/81, Notice 11/26/80—published 11/11/81, effective 12/16/81]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12/17/81, Notice 8/19/81—published 1/6/82, effective 2/10/82]</w:t>
      </w:r>
    </w:p>
    <w:p>
      <w:pPr>
        <w:spacing w:before="0" w:after="0"/>
        <w:ind w:left="120"/>
        <w:jc w:val="center"/>
      </w:pPr>
      <w:r>
        <w:rPr>
          <w:rFonts w:ascii="Times New Roman" w:hAnsi="Times New Roman"/>
          <w:b w:val="false"/>
          <w:i w:val="false"/>
          <w:color w:val="000000"/>
          <w:sz w:val="21"/>
        </w:rPr>
        <w:t>[Filed 12/31/81, Notice 8/5/81—published 1/20/82, effective 2/24/82]</w:t>
      </w:r>
    </w:p>
    <w:p>
      <w:pPr>
        <w:spacing w:before="0" w:after="0"/>
        <w:ind w:left="120"/>
        <w:jc w:val="center"/>
      </w:pPr>
      <w:r>
        <w:rPr>
          <w:rFonts w:ascii="Times New Roman" w:hAnsi="Times New Roman"/>
          <w:b w:val="false"/>
          <w:i w:val="false"/>
          <w:color w:val="000000"/>
          <w:sz w:val="21"/>
        </w:rPr>
        <w:t>[Filed 1/28/82, Notice 9/30/81—published 2/17/82, effective 3/24/82]</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emergency after Notice 2/22/82, Notice 1/6/82—published 3/17/82, effective 2/24/82]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without Notice 9/26/83—published 10/12/83, effective 12/1/83]</w:t>
      </w:r>
    </w:p>
    <w:p>
      <w:pPr>
        <w:spacing w:before="0" w:after="0"/>
        <w:ind w:left="120"/>
        <w:jc w:val="center"/>
      </w:pPr>
      <w:r>
        <w:rPr>
          <w:rFonts w:ascii="Times New Roman" w:hAnsi="Times New Roman"/>
          <w:b w:val="false"/>
          <w:i w:val="false"/>
          <w:color w:val="000000"/>
          <w:sz w:val="21"/>
        </w:rPr>
        <w:t>[Filed 10/21/83, Notice 8/3/83—published 11/9/83, effective 12/14/83]</w:t>
      </w:r>
    </w:p>
    <w:p>
      <w:pPr>
        <w:spacing w:before="0" w:after="0"/>
        <w:ind w:left="120"/>
        <w:jc w:val="center"/>
      </w:pPr>
      <w:r>
        <w:rPr>
          <w:rFonts w:ascii="Times New Roman" w:hAnsi="Times New Roman"/>
          <w:b w:val="false"/>
          <w:i w:val="false"/>
          <w:color w:val="000000"/>
          <w:sz w:val="21"/>
        </w:rPr>
        <w:t>[Filed without Notice 11/4/83—published 11/23/83,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1/27/84, Notice 11/23/83—published 2/15/84, effective 3/21/84]</w:t>
      </w:r>
    </w:p>
    <w:p>
      <w:pPr>
        <w:spacing w:before="0" w:after="0"/>
        <w:ind w:left="120"/>
        <w:jc w:val="center"/>
      </w:pPr>
      <w:r>
        <w:rPr>
          <w:rFonts w:ascii="Times New Roman" w:hAnsi="Times New Roman"/>
          <w:b w:val="false"/>
          <w:i w:val="false"/>
          <w:color w:val="000000"/>
          <w:sz w:val="21"/>
        </w:rPr>
        <w:t>[Filed 1/27/84, Notice 12/21/83—published 2/15/84, effective 3/21/84]</w:t>
      </w:r>
    </w:p>
    <w:p>
      <w:pPr>
        <w:spacing w:before="0" w:after="0"/>
        <w:ind w:left="120"/>
        <w:jc w:val="center"/>
      </w:pPr>
      <w:r>
        <w:rPr>
          <w:rFonts w:ascii="Times New Roman" w:hAnsi="Times New Roman"/>
          <w:b w:val="false"/>
          <w:i w:val="false"/>
          <w:color w:val="000000"/>
          <w:sz w:val="21"/>
        </w:rPr>
        <w:t>[Filed 2/24/84, Notice 11/23/83—published 3/14/84, effective 4/18/84]</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11/6/84, Notice 8/29/84—published 11/21/84, effective 12/26/84]</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8/23/85, Notice 6/19/85—published 9/11/85, effective 10/16/85]</w:t>
      </w:r>
    </w:p>
    <w:p>
      <w:pPr>
        <w:spacing w:before="0" w:after="0"/>
        <w:ind w:left="120"/>
        <w:jc w:val="center"/>
      </w:pPr>
      <w:r>
        <w:rPr>
          <w:rFonts w:ascii="Times New Roman" w:hAnsi="Times New Roman"/>
          <w:b w:val="false"/>
          <w:i w:val="false"/>
          <w:color w:val="000000"/>
          <w:sz w:val="21"/>
        </w:rPr>
        <w:t>[Filed 2/7/86, Notice 12/4/85—published 2/26/86, effective 4/2/86]</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5/2/86, Notice 3/26/86—published 5/21/86, effective 6/25/86]</w:t>
      </w:r>
    </w:p>
    <w:p>
      <w:pPr>
        <w:spacing w:before="0" w:after="0"/>
        <w:ind w:left="120"/>
        <w:jc w:val="center"/>
      </w:pPr>
      <w:r>
        <w:rPr>
          <w:rFonts w:ascii="Times New Roman" w:hAnsi="Times New Roman"/>
          <w:b w:val="false"/>
          <w:i w:val="false"/>
          <w:color w:val="000000"/>
          <w:sz w:val="21"/>
        </w:rPr>
        <w:t>[Filed 7/11/86, Notice 5/21/86—published 7/30/86, effective 9/3/86]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8/8/86, Notice 3/26/86—published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10/31/86, Notice 9/10/86—published 11/19/86, effective 12/24/86]</w:t>
      </w:r>
    </w:p>
    <w:p>
      <w:pPr>
        <w:spacing w:before="0" w:after="0"/>
        <w:ind w:left="120"/>
        <w:jc w:val="center"/>
      </w:pPr>
      <w:r>
        <w:rPr>
          <w:rFonts w:ascii="Times New Roman" w:hAnsi="Times New Roman"/>
          <w:b w:val="false"/>
          <w:i w:val="false"/>
          <w:color w:val="000000"/>
          <w:sz w:val="21"/>
        </w:rPr>
        <w:t>[Filed 1/9/87, Notice 8/13/86—published 1/28/87, effective 4/29/87]</w:t>
      </w:r>
    </w:p>
    <w:p>
      <w:pPr>
        <w:spacing w:before="0" w:after="0"/>
        <w:ind w:left="120"/>
        <w:jc w:val="center"/>
      </w:pPr>
      <w:r>
        <w:rPr>
          <w:rFonts w:ascii="Times New Roman" w:hAnsi="Times New Roman"/>
          <w:b w:val="false"/>
          <w:i w:val="false"/>
          <w:color w:val="000000"/>
          <w:sz w:val="21"/>
        </w:rPr>
        <w:t>[Filed 3/23/87, Notice 1/14/87—published 4/8/87, effective 5/13/87]</w:t>
      </w:r>
    </w:p>
    <w:p>
      <w:pPr>
        <w:spacing w:before="0" w:after="0"/>
        <w:ind w:left="120"/>
        <w:jc w:val="center"/>
      </w:pPr>
      <w:r>
        <w:rPr>
          <w:rFonts w:ascii="Times New Roman" w:hAnsi="Times New Roman"/>
          <w:b w:val="false"/>
          <w:i w:val="false"/>
          <w:color w:val="000000"/>
          <w:sz w:val="21"/>
        </w:rPr>
        <w:t>[Filed 11/13/87, Notice 7/1/87—published 12/2/87, effective 1/6/88]</w:t>
      </w:r>
    </w:p>
    <w:p>
      <w:pPr>
        <w:spacing w:before="0" w:after="0"/>
        <w:ind w:left="120"/>
        <w:jc w:val="center"/>
      </w:pPr>
      <w:r>
        <w:rPr>
          <w:rFonts w:ascii="Times New Roman" w:hAnsi="Times New Roman"/>
          <w:b w:val="false"/>
          <w:i w:val="false"/>
          <w:color w:val="000000"/>
          <w:sz w:val="21"/>
        </w:rPr>
        <w:t>[Filed 8/17/88, Notice 7/13/88—published 9/7/88, effective 10/12/88]</w:t>
      </w:r>
    </w:p>
    <w:p>
      <w:pPr>
        <w:spacing w:before="0" w:after="0"/>
        <w:ind w:left="120"/>
        <w:jc w:val="center"/>
      </w:pPr>
      <w:r>
        <w:rPr>
          <w:rFonts w:ascii="Times New Roman" w:hAnsi="Times New Roman"/>
          <w:b w:val="false"/>
          <w:i w:val="false"/>
          <w:color w:val="000000"/>
          <w:sz w:val="21"/>
        </w:rPr>
        <w:t>[Filed 1/6/89, Notice 7/27/88—published 1/25/89, effective 3/1/89]</w:t>
      </w:r>
    </w:p>
    <w:p>
      <w:pPr>
        <w:spacing w:before="0" w:after="0"/>
        <w:ind w:left="120"/>
        <w:jc w:val="center"/>
      </w:pPr>
      <w:r>
        <w:rPr>
          <w:rFonts w:ascii="Times New Roman" w:hAnsi="Times New Roman"/>
          <w:b w:val="false"/>
          <w:i w:val="false"/>
          <w:color w:val="000000"/>
          <w:sz w:val="21"/>
        </w:rPr>
        <w:t>[Filed without Notice 6/26/89—published 7/12/89, effective 8/16/89]</w:t>
      </w:r>
    </w:p>
    <w:p>
      <w:pPr>
        <w:spacing w:before="0" w:after="0"/>
        <w:ind w:left="120"/>
        <w:jc w:val="center"/>
      </w:pPr>
      <w:r>
        <w:rPr>
          <w:rFonts w:ascii="Times New Roman" w:hAnsi="Times New Roman"/>
          <w:b w:val="false"/>
          <w:i w:val="false"/>
          <w:color w:val="000000"/>
          <w:sz w:val="21"/>
        </w:rPr>
        <w:t>[Filed 7/20/89, Notices 10/5/88, 1/25/89—published 8/9/89, effective 9/13/89]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1/5/90, Notice 7/12/89—published 1/24/90, effective 2/28/90]</w:t>
      </w:r>
    </w:p>
    <w:p>
      <w:pPr>
        <w:spacing w:before="0" w:after="0"/>
        <w:ind w:left="120"/>
        <w:jc w:val="center"/>
      </w:pPr>
      <w:r>
        <w:rPr>
          <w:rFonts w:ascii="Times New Roman" w:hAnsi="Times New Roman"/>
          <w:b w:val="false"/>
          <w:i w:val="false"/>
          <w:color w:val="000000"/>
          <w:sz w:val="21"/>
        </w:rPr>
        <w:t>[Filed 5/25/90, Notice 9/20/89—published 6/13/90, effective 7/18/90]</w:t>
      </w:r>
    </w:p>
    <w:p>
      <w:pPr>
        <w:spacing w:before="0" w:after="0"/>
        <w:ind w:left="120"/>
        <w:jc w:val="center"/>
      </w:pPr>
      <w:r>
        <w:rPr>
          <w:rFonts w:ascii="Times New Roman" w:hAnsi="Times New Roman"/>
          <w:b w:val="false"/>
          <w:i w:val="false"/>
          <w:color w:val="000000"/>
          <w:sz w:val="21"/>
        </w:rPr>
        <w:t>[Filed 7/6/90, Notice 2/21/90—published 7/25/90, effective 8/29/90]</w:t>
      </w:r>
    </w:p>
    <w:p>
      <w:pPr>
        <w:spacing w:before="0" w:after="0"/>
        <w:ind w:left="120"/>
        <w:jc w:val="center"/>
      </w:pPr>
      <w:r>
        <w:rPr>
          <w:rFonts w:ascii="Times New Roman" w:hAnsi="Times New Roman"/>
          <w:b w:val="false"/>
          <w:i w:val="false"/>
          <w:color w:val="000000"/>
          <w:sz w:val="21"/>
        </w:rPr>
        <w:t>[Filed 1/18/91, Notice 11/28/90—published 2/6/91, effective 3/13/91]</w:t>
      </w:r>
    </w:p>
    <w:p>
      <w:pPr>
        <w:spacing w:before="0" w:after="0"/>
        <w:ind w:left="120"/>
        <w:jc w:val="center"/>
      </w:pPr>
      <w:r>
        <w:rPr>
          <w:rFonts w:ascii="Times New Roman" w:hAnsi="Times New Roman"/>
          <w:b w:val="false"/>
          <w:i w:val="false"/>
          <w:color w:val="000000"/>
          <w:sz w:val="21"/>
        </w:rPr>
        <w:t>[Filed 3/28/91, Notice 11/28/90—published 4/17/91, effective 5/22/91]</w:t>
      </w:r>
    </w:p>
    <w:p>
      <w:pPr>
        <w:spacing w:before="0" w:after="0"/>
        <w:ind w:left="120"/>
        <w:jc w:val="center"/>
      </w:pPr>
      <w:r>
        <w:rPr>
          <w:rFonts w:ascii="Times New Roman" w:hAnsi="Times New Roman"/>
          <w:b w:val="false"/>
          <w:i w:val="false"/>
          <w:color w:val="000000"/>
          <w:sz w:val="21"/>
        </w:rPr>
        <w:t>[Filed emergency 4/12/91 after Notice 11/14/90—published 5/1/91, effective 4/12/91]</w:t>
      </w:r>
    </w:p>
    <w:p>
      <w:pPr>
        <w:spacing w:before="0" w:after="0"/>
        <w:ind w:left="120"/>
        <w:jc w:val="center"/>
      </w:pPr>
      <w:r>
        <w:rPr>
          <w:rFonts w:ascii="Times New Roman" w:hAnsi="Times New Roman"/>
          <w:b w:val="false"/>
          <w:i w:val="false"/>
          <w:color w:val="000000"/>
          <w:sz w:val="21"/>
        </w:rPr>
        <w:t>[Filed 10/9/92, Notice 3/18/92—published 10/28/92, effective 12/27/92]</w:t>
      </w:r>
    </w:p>
    <w:p>
      <w:pPr>
        <w:spacing w:before="0" w:after="0"/>
        <w:ind w:left="120"/>
        <w:jc w:val="center"/>
      </w:pPr>
      <w:r>
        <w:rPr>
          <w:rFonts w:ascii="Times New Roman" w:hAnsi="Times New Roman"/>
          <w:b w:val="false"/>
          <w:i w:val="false"/>
          <w:color w:val="000000"/>
          <w:sz w:val="21"/>
        </w:rPr>
        <w:t>[Filed 1/15/93, Notice 10/28/92—published 2/3/93, effective 3/10/93]</w:t>
      </w:r>
    </w:p>
    <w:p>
      <w:pPr>
        <w:spacing w:before="0" w:after="0"/>
        <w:ind w:left="120"/>
        <w:jc w:val="center"/>
      </w:pPr>
      <w:r>
        <w:rPr>
          <w:rFonts w:ascii="Times New Roman" w:hAnsi="Times New Roman"/>
          <w:b w:val="false"/>
          <w:i w:val="false"/>
          <w:color w:val="000000"/>
          <w:sz w:val="21"/>
        </w:rPr>
        <w:t>[Filed 4/9/93, Notice 10/28/92—published 4/28/93, effective 6/2/93]</w:t>
      </w:r>
    </w:p>
    <w:p>
      <w:pPr>
        <w:spacing w:before="0" w:after="0"/>
        <w:ind w:left="120"/>
        <w:jc w:val="center"/>
      </w:pPr>
      <w:r>
        <w:rPr>
          <w:rFonts w:ascii="Times New Roman" w:hAnsi="Times New Roman"/>
          <w:b w:val="false"/>
          <w:i w:val="false"/>
          <w:color w:val="000000"/>
          <w:sz w:val="21"/>
        </w:rPr>
        <w:t>[Filed 7/27/93, Notice 4/14/93—published 8/18/93, effective 9/22/93]</w:t>
      </w:r>
    </w:p>
    <w:p>
      <w:pPr>
        <w:spacing w:before="0" w:after="0"/>
        <w:ind w:left="120"/>
        <w:jc w:val="center"/>
      </w:pPr>
      <w:r>
        <w:rPr>
          <w:rFonts w:ascii="Times New Roman" w:hAnsi="Times New Roman"/>
          <w:b w:val="false"/>
          <w:i w:val="false"/>
          <w:color w:val="000000"/>
          <w:sz w:val="21"/>
        </w:rPr>
        <w:t>[Filed 8/27/93, Notices 1/6/93, 5/26/93—published 9/15/93, effective 10/20/93]</w:t>
      </w:r>
    </w:p>
    <w:p>
      <w:pPr>
        <w:spacing w:before="0" w:after="0"/>
        <w:ind w:left="120"/>
        <w:jc w:val="center"/>
      </w:pPr>
      <w:r>
        <w:rPr>
          <w:rFonts w:ascii="Times New Roman" w:hAnsi="Times New Roman"/>
          <w:b w:val="false"/>
          <w:i w:val="false"/>
          <w:color w:val="000000"/>
          <w:sz w:val="21"/>
        </w:rPr>
        <w:t>[Filed 4/24/95, Notice 10/26/94—published 5/10/95, effective 6/14/95]</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4/9/04, Notice 10/15/03—published 4/28/04, effective 6/2/04]</w:t>
      </w:r>
    </w:p>
    <w:p>
      <w:pPr>
        <w:spacing w:before="0" w:after="0"/>
        <w:ind w:left="120"/>
        <w:jc w:val="center"/>
      </w:pPr>
      <w:r>
        <w:rPr>
          <w:rFonts w:ascii="Times New Roman" w:hAnsi="Times New Roman"/>
          <w:b w:val="false"/>
          <w:i w:val="false"/>
          <w:color w:val="000000"/>
          <w:sz w:val="21"/>
        </w:rPr>
        <w:t>[Filed 10/21/05, Notice 2/16/05—published 11/9/05, effective 12/14/05]</w:t>
      </w:r>
    </w:p>
    <w:p>
      <w:pPr>
        <w:spacing w:before="0" w:after="0"/>
        <w:ind w:left="120"/>
        <w:jc w:val="center"/>
      </w:pPr>
      <w:r>
        <w:rPr>
          <w:rFonts w:ascii="Times New Roman" w:hAnsi="Times New Roman"/>
          <w:b w:val="false"/>
          <w:i w:val="false"/>
          <w:color w:val="000000"/>
          <w:sz w:val="21"/>
        </w:rPr>
        <w:t>[Filed 8/23/06, Notice 6/21/06—published 9/13/06, effective 10/18/06]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4893C</w:t>
      </w:r>
      <w:r>
        <w:rPr>
          <w:rFonts w:ascii="Times New Roman" w:hAnsi="Times New Roman"/>
          <w:b w:val="false"/>
          <w:i w:val="false"/>
          <w:color w:val="000000"/>
          <w:sz w:val="21"/>
        </w:rPr>
        <w:t xml:space="preserve"> (Notice ARC 4537C, IAB 7/17/19)</w:t>
      </w:r>
      <w:r>
        <w:rPr>
          <w:rFonts w:ascii="Times New Roman" w:hAnsi="Times New Roman"/>
          <w:b w:val="false"/>
          <w:i w:val="false"/>
          <w:color w:val="000000"/>
          <w:sz w:val="21"/>
        </w:rPr>
        <w:t>, IAB 1/29/20, effective 3/4/20]</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Objection to emergency filing—filed 9/15/81</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7.4(1)</w:t>
      </w:r>
      <w:r>
        <w:rPr>
          <w:rFonts w:ascii="Times New Roman" w:hAnsi="Times New Roman"/>
          <w:b w:val="false"/>
          <w:i/>
          <w:color w:val="000000"/>
          <w:sz w:val="16"/>
        </w:rPr>
        <w:t>“f”</w:t>
      </w:r>
      <w:r>
        <w:rPr>
          <w:rFonts w:ascii="Times New Roman" w:hAnsi="Times New Roman"/>
          <w:b w:val="false"/>
          <w:i w:val="false"/>
          <w:color w:val="000000"/>
          <w:sz w:val="16"/>
        </w:rPr>
        <w:t>(2) delayed 70 days by Administrative Rules Review Committee.</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See Utilities Division, IAB 7/30/86</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subrule 7.1(8) delayed 70 days by the Administrative Rules Review Committee at its meeting held October 10, 2006.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chapter/199.14.pdf" Type="http://schemas.openxmlformats.org/officeDocument/2006/relationships/hyperlink" Id="rId5"/>
    <Relationship TargetMode="External" Target="https://www.legis.iowa.gov/docs/iac/rule/199.7.1.pdf" Type="http://schemas.openxmlformats.org/officeDocument/2006/relationships/hyperlink" Id="rId6"/>
    <Relationship TargetMode="External" Target="https://www.legis.iowa.gov/docs/iac/chapter/199.26.pdf" Type="http://schemas.openxmlformats.org/officeDocument/2006/relationships/hyperlink" Id="rId7"/>
    <Relationship TargetMode="External" Target="https://www.legis.iowa.gov/docs/iac/rule/199.32.9.pdf" Type="http://schemas.openxmlformats.org/officeDocument/2006/relationships/hyperlink" Id="rId8"/>
    <Relationship TargetMode="External" Target="https://www.legis.iowa.gov/docs/iac/rule/199.32.9.pdf" Type="http://schemas.openxmlformats.org/officeDocument/2006/relationships/hyperlink" Id="rId9"/>
    <Relationship TargetMode="External" Target="https://www.legis.iowa.gov/docs/iac/rule/199.32.9.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rule/199.1.3.pdf" Type="http://schemas.openxmlformats.org/officeDocument/2006/relationships/hyperlink" Id="rId13"/>
    <Relationship TargetMode="External" Target="https://www.legis.iowa.gov/docs/iac/rule/199.7.1.pdf" Type="http://schemas.openxmlformats.org/officeDocument/2006/relationships/hyperlink" Id="rId14"/>
    <Relationship TargetMode="External" Target="https://www.legis.iowa.gov/docs/ico/chapter/476.pdf" Type="http://schemas.openxmlformats.org/officeDocument/2006/relationships/hyperlink" Id="rId15"/>
    <Relationship TargetMode="External" Target="https://www.legis.iowa.gov/docs/ico/chapter/479B.pdf" Type="http://schemas.openxmlformats.org/officeDocument/2006/relationships/hyperlink" Id="rId16"/>
    <Relationship TargetMode="External" Target="https://www.legis.iowa.gov/docs/ico/chapter/475A.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chapter/199.14.pdf" Type="http://schemas.openxmlformats.org/officeDocument/2006/relationships/hyperlink" Id="rId20"/>
    <Relationship TargetMode="External" Target="https://www.legis.iowa.gov/docs/ico/chapter/4.pdf" Type="http://schemas.openxmlformats.org/officeDocument/2006/relationships/hyperlink" Id="rId21"/>
    <Relationship TargetMode="External" Target="https://www.legis.iowa.gov/docs/iac/chapter/199.14.pdf" Type="http://schemas.openxmlformats.org/officeDocument/2006/relationships/hyperlink" Id="rId22"/>
    <Relationship TargetMode="External" Target="https://www.legis.iowa.gov/docs/iac/chapter/199.14.pdf" Type="http://schemas.openxmlformats.org/officeDocument/2006/relationships/hyperlink" Id="rId23"/>
    <Relationship TargetMode="External" Target="https://www.legis.iowa.gov/docs/iac/rule/199.14.3.pdf" Type="http://schemas.openxmlformats.org/officeDocument/2006/relationships/hyperlink" Id="rId24"/>
    <Relationship TargetMode="External" Target="https://www.legis.iowa.gov/docs/iac/rule/199.14.16.pdf" Type="http://schemas.openxmlformats.org/officeDocument/2006/relationships/hyperlink" Id="rId25"/>
    <Relationship TargetMode="External" Target="https://www.legis.iowa.gov/docs/iac/rule/199.14.4.pdf" Type="http://schemas.openxmlformats.org/officeDocument/2006/relationships/hyperlink" Id="rId26"/>
    <Relationship TargetMode="External" Target="https://www.legis.iowa.gov/docs/iac/rule/199.7.23.pdf" Type="http://schemas.openxmlformats.org/officeDocument/2006/relationships/hyperlink" Id="rId27"/>
    <Relationship TargetMode="External" Target="https://www.legis.iowa.gov/docs/iac/chapter/199.26.pdf" Type="http://schemas.openxmlformats.org/officeDocument/2006/relationships/hyperlink" Id="rId28"/>
    <Relationship TargetMode="External" Target="https://www.legis.iowa.gov/docs/iac/rule/199.14.16.pdf" Type="http://schemas.openxmlformats.org/officeDocument/2006/relationships/hyperlink" Id="rId29"/>
    <Relationship TargetMode="External" Target="https://www.legis.iowa.gov/docs/iac/rule/199.14.16.pdf" Type="http://schemas.openxmlformats.org/officeDocument/2006/relationships/hyperlink" Id="rId30"/>
    <Relationship TargetMode="External" Target="https://www.legis.iowa.gov/docs/iac/rule/199.14.16.pdf" Type="http://schemas.openxmlformats.org/officeDocument/2006/relationships/hyperlink" Id="rId31"/>
    <Relationship TargetMode="External" Target="https://www.legis.iowa.gov/docs/iac/rule/199.14.16.pdf" Type="http://schemas.openxmlformats.org/officeDocument/2006/relationships/hyperlink" Id="rId32"/>
    <Relationship TargetMode="External" Target="https://www.legis.iowa.gov/docs/iac/rule/199.1.9.pdf" Type="http://schemas.openxmlformats.org/officeDocument/2006/relationships/hyperlink" Id="rId33"/>
    <Relationship TargetMode="External" Target="https://www.legis.iowa.gov/docs/iac/rule/199.14.12.pdf" Type="http://schemas.openxmlformats.org/officeDocument/2006/relationships/hyperlink" Id="rId34"/>
    <Relationship TargetMode="External" Target="https://www.legis.iowa.gov/docs/iac/rule/199.7.9.pdf" Type="http://schemas.openxmlformats.org/officeDocument/2006/relationships/hyperlink" Id="rId35"/>
    <Relationship TargetMode="External" Target="https://www.legis.iowa.gov/docs/iac/rule/199.7.12.pdf" Type="http://schemas.openxmlformats.org/officeDocument/2006/relationships/hyperlink" Id="rId36"/>
    <Relationship TargetMode="External" Target="https://www.legis.iowa.gov/docs/iac/rule/199.7.13.pdf" Type="http://schemas.openxmlformats.org/officeDocument/2006/relationships/hyperlink" Id="rId37"/>
    <Relationship TargetMode="External" Target="https://www.legis.iowa.gov/docs/iac/rule/199.7.15.pdf" Type="http://schemas.openxmlformats.org/officeDocument/2006/relationships/hyperlink" Id="rId38"/>
    <Relationship TargetMode="External" Target="https://www.legis.iowa.gov/docs/iac/rule/199.7.26.pdf" Type="http://schemas.openxmlformats.org/officeDocument/2006/relationships/hyperlink" Id="rId39"/>
    <Relationship TargetMode="External" Target="https://www.legis.iowa.gov/docs/iac/rule/199.7.4.pdf" Type="http://schemas.openxmlformats.org/officeDocument/2006/relationships/hyperlink" Id="rId40"/>
    <Relationship TargetMode="External" Target="https://www.legis.iowa.gov/docs/iac/rule/199.7.4.pdf" Type="http://schemas.openxmlformats.org/officeDocument/2006/relationships/hyperlink" Id="rId41"/>
    <Relationship TargetMode="External" Target="https://www.legis.iowa.gov/docs/ico/chapter/4.pdf" Type="http://schemas.openxmlformats.org/officeDocument/2006/relationships/hyperlink" Id="rId42"/>
    <Relationship TargetMode="External" Target="https://www.legis.iowa.gov/docs/iac/chapter/199.14.pdf" Type="http://schemas.openxmlformats.org/officeDocument/2006/relationships/hyperlink" Id="rId43"/>
    <Relationship TargetMode="External" Target="http://iuc.iowa.gov" Type="http://schemas.openxmlformats.org/officeDocument/2006/relationships/hyperlink" Id="rId44"/>
    <Relationship TargetMode="External" Target="https://www.legis.iowa.gov/docs/iac/rule/199.7.10.pdf" Type="http://schemas.openxmlformats.org/officeDocument/2006/relationships/hyperlink" Id="rId45"/>
    <Relationship TargetMode="External" Target="https://www.legis.iowa.gov/docs/iac/chapter/199.14.pdf" Type="http://schemas.openxmlformats.org/officeDocument/2006/relationships/hyperlink" Id="rId46"/>
    <Relationship TargetMode="External" Target="https://www.legis.iowa.gov/docs/iac/chapter/199.14.pdf" Type="http://schemas.openxmlformats.org/officeDocument/2006/relationships/hyperlink" Id="rId47"/>
    <Relationship TargetMode="External" Target="https://www.legis.iowa.gov/docs/iac/rule/199.7.15.pdf" Type="http://schemas.openxmlformats.org/officeDocument/2006/relationships/hyperlink" Id="rId48"/>
    <Relationship TargetMode="External" Target="https://www.legis.iowa.gov/docs/iac/rule/199.7.15.pdf" Type="http://schemas.openxmlformats.org/officeDocument/2006/relationships/hyperlink" Id="rId49"/>
    <Relationship TargetMode="External" Target="https://www.legis.iowa.gov/docs/iac/rule/199.7.15.pdf" Type="http://schemas.openxmlformats.org/officeDocument/2006/relationships/hyperlink" Id="rId50"/>
    <Relationship TargetMode="External" Target="https://www.legis.iowa.gov/docs/iac/rule/199.7.18.pdf" Type="http://schemas.openxmlformats.org/officeDocument/2006/relationships/hyperlink" Id="rId51"/>
    <Relationship TargetMode="External" Target="https://www.legis.iowa.gov/docs/iac/rule/199.7.18.pdf" Type="http://schemas.openxmlformats.org/officeDocument/2006/relationships/hyperlink" Id="rId52"/>
    <Relationship TargetMode="External" Target="https://www.legis.iowa.gov/docs/iac/rule/199.26.3.pdf" Type="http://schemas.openxmlformats.org/officeDocument/2006/relationships/hyperlink" Id="rId53"/>
    <Relationship TargetMode="External" Target="https://www.legis.iowa.gov/docs/ico/chapter/17A.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ac/rule/199.7.10.pdf" Type="http://schemas.openxmlformats.org/officeDocument/2006/relationships/hyperlink" Id="rId56"/>
    <Relationship TargetMode="External" Target="https://www.legis.iowa.gov/docs/iac/rule/199.7.4.pdf" Type="http://schemas.openxmlformats.org/officeDocument/2006/relationships/hyperlink" Id="rId57"/>
    <Relationship TargetMode="External" Target="https://www.legis.iowa.gov/docs/iac/rule/199.7.4.pdf" Type="http://schemas.openxmlformats.org/officeDocument/2006/relationships/hyperlink" Id="rId58"/>
    <Relationship TargetMode="External" Target="https://www.legis.iowa.gov/docs/iac/rule/199.1.9.pdf" Type="http://schemas.openxmlformats.org/officeDocument/2006/relationships/hyperlink" Id="rId59"/>
    <Relationship TargetMode="External" Target="https://www.legis.iowa.gov/docs/iac/rule/199.7.25.pdf" Type="http://schemas.openxmlformats.org/officeDocument/2006/relationships/hyperlink" Id="rId60"/>
    <Relationship TargetMode="External" Target="https://www.legis.iowa.gov/docs/iac/rule/199.7.26.pdf" Type="http://schemas.openxmlformats.org/officeDocument/2006/relationships/hyperlink" Id="rId61"/>
    <Relationship TargetMode="External" Target="https://www.legis.iowa.gov/docs/iac/rule/199.7.28.pdf" Type="http://schemas.openxmlformats.org/officeDocument/2006/relationships/hyperlink" Id="rId62"/>
    <Relationship TargetMode="External" Target="https://www.legis.iowa.gov/docs/ico/chapter/17A.pdf" Type="http://schemas.openxmlformats.org/officeDocument/2006/relationships/hyperlink" Id="rId63"/>
    <Relationship TargetMode="External" Target="https://www.legis.iowa.gov/docs/iac/rule/199.7.28.pdf" Type="http://schemas.openxmlformats.org/officeDocument/2006/relationships/hyperlink" Id="rId64"/>
    <Relationship TargetMode="External" Target="https://www.legis.iowa.gov/docs/iac/rule/199.7.9.pdf" Type="http://schemas.openxmlformats.org/officeDocument/2006/relationships/hyperlink" Id="rId65"/>
    <Relationship TargetMode="External" Target="https://www.legis.iowa.gov/docs/iac/rule/199.7.4.pdf" Type="http://schemas.openxmlformats.org/officeDocument/2006/relationships/hyperlink" Id="rId66"/>
    <Relationship TargetMode="External" Target="https://www.legis.iowa.gov/docs/ico/chapter/17A.pdf" Type="http://schemas.openxmlformats.org/officeDocument/2006/relationships/hyperlink" Id="rId67"/>
    <Relationship TargetMode="External" Target="https://www.legis.iowa.gov/docs/ico/chapter/17A.pdf" Type="http://schemas.openxmlformats.org/officeDocument/2006/relationships/hyperlink" Id="rId68"/>
    <Relationship TargetMode="External" Target="https://www.legis.iowa.gov/docs/ico/chapter/17A.pdf" Type="http://schemas.openxmlformats.org/officeDocument/2006/relationships/hyperlink" Id="rId69"/>
    <Relationship TargetMode="External" Target="https://www.legis.iowa.gov/docs/ico/chapter/474.pdf" Type="http://schemas.openxmlformats.org/officeDocument/2006/relationships/hyperlink" Id="rId70"/>
    <Relationship TargetMode="External" Target="https://www.legis.iowa.gov/docs/ico/chapter/476.pdf" Type="http://schemas.openxmlformats.org/officeDocument/2006/relationships/hyperlink" Id="rId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