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COMPLAINT PROCEDURES</w:t>
      </w:r>
    </w:p>
    <w:p>
      <w:pPr>
        <w:spacing w:before="0" w:after="0"/>
        <w:ind w:left="120"/>
        <w:jc w:val="center"/>
      </w:pPr>
      <w:r>
        <w:rPr>
          <w:rFonts w:ascii="Times New Roman" w:hAnsi="Times New Roman"/>
          <w:b w:val="false"/>
          <w:i w:val="false"/>
          <w:color w:val="000000"/>
          <w:sz w:val="14"/>
        </w:rPr>
        <w:t>[Previously ch 1, renumbered 10/20/75 Supp.]</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199—6.1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inquiries. </w:t>
      </w:r>
      <w:r>
        <w:rPr>
          <w:rFonts w:ascii="Times New Roman" w:hAnsi="Times New Roman"/>
          <w:b w:val="false"/>
          <w:i w:val="false"/>
          <w:color w:val="000000"/>
          <w:sz w:val="22"/>
        </w:rPr>
        <w:t xml:space="preserve">Any person may seek assistance from the Iowa utilities commission by appearing in person at the commission’s office at 1375 East Court Avenue, Des Moines, Iowa 50319-0069; by mailing an inquiry to the commission’s office; by placing a telephone call to the commission’s customer service bureau at 515.725.7300 or toll-free at 877.565.4450; by sending an inquiry by email to </w:t>
      </w:r>
      <w:hyperlink r:id="rId4">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xml:space="preserve">; or by contacting the agency through any other means. If the inquiry is not resolved after commission staff has obtained additional information, the person making the inquiry may escalate the inquiry to a written complaint by requesting an informal investigation pursuant to rule </w:t>
      </w:r>
      <w:hyperlink r:id="rId5">
        <w:r>
          <w:rPr>
            <w:rStyle w:val="Hyperlink"/>
            <w:rFonts w:ascii="Times New Roman" w:hAnsi="Times New Roman"/>
            <w:b w:val="false"/>
            <w:i w:val="false"/>
            <w:color w:val="000000"/>
            <w:sz w:val="22"/>
          </w:rPr>
          <w:t>199—6.2(476)</w:t>
        </w:r>
      </w:hyperlink>
      <w:r>
        <w:rPr>
          <w:rFonts w:ascii="Times New Roman" w:hAnsi="Times New Roman"/>
          <w:b w:val="false"/>
          <w:i w:val="false"/>
          <w:color w:val="000000"/>
          <w:sz w:val="22"/>
        </w:rPr>
        <w:t xml:space="preserve"> and Iowa Code section </w:t>
      </w:r>
      <w:hyperlink r:id="rId6">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199—6.2</w:t>
      </w:r>
      <w:r>
        <w:rPr>
          <w:rFonts w:ascii="Times New Roman" w:hAnsi="Times New Roman"/>
          <w:b/>
          <w:i w:val="false"/>
          <w:color w:val="000000"/>
          <w:sz w:val="22"/>
        </w:rPr>
        <w:t xml:space="preserve">(476) </w:t>
      </w:r>
      <w:r>
        <w:rPr>
          <w:rFonts w:ascii="Times New Roman" w:hAnsi="Times New Roman"/>
          <w:b/>
          <w:i w:val="false"/>
          <w:color w:val="000000"/>
          <w:sz w:val="22"/>
        </w:rPr>
        <w:t xml:space="preserve">Informal complaint procedures. </w:t>
      </w:r>
      <w:r>
        <w:rPr>
          <w:rFonts w:ascii="Times New Roman" w:hAnsi="Times New Roman"/>
          <w:b w:val="false"/>
          <w:i w:val="false"/>
          <w:color w:val="000000"/>
          <w:sz w:val="22"/>
        </w:rPr>
        <w:t xml:space="preserve">Any person may submit a written complaint to the commission requesting a determination of the reasonableness of rates, charges, schedules, service, regulations, or anything done or not done by a public utility for those services or rates subject to regulation by the commission. “Person” as used in this chapter shall have the same definition as defined in Iowa Code section </w:t>
      </w:r>
      <w:hyperlink r:id="rId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(20).</w:t>
      </w:r>
    </w:p>
    <w:p>
      <w:pPr>
        <w:spacing w:before="0" w:after="0"/>
        <w:ind w:left="120"/>
        <w:jc w:val="both"/>
      </w:pP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filed. </w:t>
      </w:r>
      <w:r>
        <w:rPr>
          <w:rFonts w:ascii="Times New Roman" w:hAnsi="Times New Roman"/>
          <w:b w:val="false"/>
          <w:i w:val="false"/>
          <w:color w:val="000000"/>
          <w:sz w:val="22"/>
        </w:rPr>
        <w:t>The written complaint should include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utility involved, any utility personnel known or believed to be familiar with the facts stated in the complaint, and the location of the office of the utility where the complaint was originally made and processed.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complainant. If the complaint is being made on behalf of a person other than the complainant, an affidavit from the person upon whose behalf the complaint is being made, attesting to the accuracy of the complaint, should be included. A complaint filed by an organization on behalf of its members shall include an affidavit signed by an attorney for, or an officer of, the organization.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address, or addresses, of the premises where the service, billing problems, or other actions occurred. If the complainant resides at a different address, the complaint shall also state where a response to the complaint is to be mailed. The complainant shall provide a telephone number and, if available, an email address where the complainant can be reached.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nature of the complaint, and efforts made to resolve the matter. Bills, correspondence, or other relevant documents should be included if the documents will aid the commission’s understanding of the utility’s action or practice about which the complaint is made. If known, references to statutes or rules believed to govern the outcome of the complaint should be included. Also, a description of the efforts made by the complainant to resolve the complaint with the utility should be included. The complainant should contact the utility to attempt to resolve the complaint prior to submitting a complaint to the commission.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proposal for resolving the complaint. The proposal should refer to any known statutes, commission orders, or rules that support the resolution proposed by the complainant.</w:t>
      </w:r>
    </w:p>
    <w:p>
      <w:pPr>
        <w:spacing w:before="0" w:after="0"/>
        <w:ind w:left="120"/>
        <w:jc w:val="both"/>
      </w:pP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Request for additional information. </w:t>
      </w:r>
      <w:r>
        <w:rPr>
          <w:rFonts w:ascii="Times New Roman" w:hAnsi="Times New Roman"/>
          <w:b w:val="false"/>
          <w:i w:val="false"/>
          <w:color w:val="000000"/>
          <w:sz w:val="22"/>
        </w:rPr>
        <w:t>If commission staff determines that additional information is needed prior to forwarding the complaint to the utility, the complainant will be notified that specified additional information is needed. If the requested additional information is not provided within ten days, the complaint may be dismissed. Dismissal of the complaint on this basis does not prevent the complainant from filing in the future a complaint that includes the requested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199—6.3</w:t>
      </w:r>
      <w:r>
        <w:rPr>
          <w:rFonts w:ascii="Times New Roman" w:hAnsi="Times New Roman"/>
          <w:b/>
          <w:i w:val="false"/>
          <w:color w:val="000000"/>
          <w:sz w:val="22"/>
        </w:rPr>
        <w:t xml:space="preserve">(476) </w:t>
      </w:r>
      <w:r>
        <w:rPr>
          <w:rFonts w:ascii="Times New Roman" w:hAnsi="Times New Roman"/>
          <w:b/>
          <w:i w:val="false"/>
          <w:color w:val="000000"/>
          <w:sz w:val="22"/>
        </w:rPr>
        <w:t xml:space="preserve">Processing the informal complaint. </w:t>
      </w:r>
      <w:r>
        <w:rPr>
          <w:rFonts w:ascii="Times New Roman" w:hAnsi="Times New Roman"/>
          <w:b w:val="false"/>
          <w:i w:val="false"/>
          <w:color w:val="000000"/>
          <w:sz w:val="22"/>
        </w:rPr>
        <w:t xml:space="preserve">When the commission receives a written complaint that includes the necessary information outlined in rule </w:t>
      </w:r>
      <w:hyperlink r:id="rId8">
        <w:r>
          <w:rPr>
            <w:rStyle w:val="Hyperlink"/>
            <w:rFonts w:ascii="Times New Roman" w:hAnsi="Times New Roman"/>
            <w:b w:val="false"/>
            <w:i w:val="false"/>
            <w:color w:val="000000"/>
            <w:sz w:val="22"/>
          </w:rPr>
          <w:t>199—6.2(476)</w:t>
        </w:r>
      </w:hyperlink>
      <w:r>
        <w:rPr>
          <w:rFonts w:ascii="Times New Roman" w:hAnsi="Times New Roman"/>
          <w:b w:val="false"/>
          <w:i w:val="false"/>
          <w:color w:val="000000"/>
          <w:sz w:val="22"/>
        </w:rPr>
        <w:t>, commission staff shall initiate the informal complaint process by opening an investigation into the complaint and assigning the informal complaint a file number.</w:t>
      </w:r>
    </w:p>
    <w:p>
      <w:pPr>
        <w:spacing w:before="0" w:after="0"/>
        <w:ind w:left="120"/>
        <w:jc w:val="both"/>
      </w:pP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Within ten days after receipt of the written complaint, or of any additional information requested, commission staff shall forward to the public utility and the consumer advocate the complaint and any additional information provided by the complainant.</w:t>
      </w:r>
    </w:p>
    <w:p>
      <w:pPr>
        <w:spacing w:before="0" w:after="0"/>
        <w:ind w:left="120"/>
        <w:jc w:val="both"/>
      </w:pP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The utility shall respond to the complaint within 20 days of receipt and send a copy of its response to the complainant and the consumer advocate. Prior to the date the response is due, the utility may request an extension of time to respond to the complaint. Within five days, commission staff shall notify the utility, the complainant, and the consumer advocate whether the request for an extension is granted and of the length of the extension.</w:t>
      </w:r>
    </w:p>
    <w:p>
      <w:pPr>
        <w:spacing w:before="0" w:after="0"/>
        <w:ind w:left="120"/>
        <w:jc w:val="both"/>
      </w:pP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The utility shall specifically address each allegation made by the complainant and provide any supporting facts, statutes, rules, commission orders, or tariff provisions supporting its response. The utility shall include copies of all related letters, records, or other documents not supplied by the complainant, and all records concerning the complainant that are not confidential or privileged. In cases involving confidential or privileged records, the response shall advise of the records’ existence.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199—6.4</w:t>
      </w:r>
      <w:r>
        <w:rPr>
          <w:rFonts w:ascii="Times New Roman" w:hAnsi="Times New Roman"/>
          <w:b/>
          <w:i w:val="false"/>
          <w:color w:val="000000"/>
          <w:sz w:val="22"/>
        </w:rPr>
        <w:t xml:space="preserve">(476) </w:t>
      </w:r>
      <w:r>
        <w:rPr>
          <w:rFonts w:ascii="Times New Roman" w:hAnsi="Times New Roman"/>
          <w:b/>
          <w:i w:val="false"/>
          <w:color w:val="000000"/>
          <w:sz w:val="22"/>
        </w:rPr>
        <w:t xml:space="preserve">Proposed resolution of an informal complaint. </w:t>
      </w:r>
    </w:p>
    <w:p>
      <w:pPr>
        <w:spacing w:before="0" w:after="0"/>
        <w:ind w:left="120"/>
        <w:jc w:val="both"/>
      </w:pP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utility’s response is received, commission staff may request additional information deemed necessary to complete the investigation and resolve the complaint. When all necessary information has been received and the investigation is complete, commission staff shall, within 30 days, send a letter with a proposed resolution of the complaint to the complainant, the utility, and the consumer advocate. Staff shall notify the complainant, the utility, and consumer advocate when the investigation is complete and the 30-day time period to issue a proposed resolution commences. </w:t>
      </w:r>
    </w:p>
    <w:p>
      <w:pPr>
        <w:spacing w:before="0" w:after="0"/>
        <w:ind w:left="120"/>
        <w:jc w:val="both"/>
      </w:pP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proposed resolution, commission staff shall inform the parties of their right to request formal proceedings. The complainant, utility, and consumer advocate have 14 days after the date the proposed resolution is issued to file a request for a formal proceeding. If no party files a request for formal proceeding within 14 days pursuant to subrule </w:t>
      </w:r>
      <w:hyperlink r:id="rId9">
        <w:r>
          <w:rPr>
            <w:rStyle w:val="Hyperlink"/>
            <w:rFonts w:ascii="Times New Roman" w:hAnsi="Times New Roman"/>
            <w:b w:val="false"/>
            <w:i w:val="false"/>
            <w:color w:val="000000"/>
            <w:sz w:val="22"/>
          </w:rPr>
          <w:t>6.5(1)</w:t>
        </w:r>
      </w:hyperlink>
      <w:r>
        <w:rPr>
          <w:rFonts w:ascii="Times New Roman" w:hAnsi="Times New Roman"/>
          <w:b w:val="false"/>
          <w:i w:val="false"/>
          <w:color w:val="000000"/>
          <w:sz w:val="22"/>
        </w:rPr>
        <w:t>, the proposed resolution is binding.</w:t>
      </w:r>
    </w:p>
    <w:p>
      <w:pPr>
        <w:spacing w:before="0" w:after="0"/>
        <w:ind w:left="120"/>
        <w:jc w:val="both"/>
      </w:pP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proposed resolution is issued, the complainant, utility, or consumer advocate may request in writing within 14 days that commission staff reopen the investigation regarding the complaint to consider additional information, changed circumstances, or other relevant information not provided in the initial investigation. Within five days of receiving the request, commission staff shall send a response to the request to reopen the investigation, either advising the parties that the investigation will be reopened and a second proposed resolution will be issued or denying the request. If the request to reopen the investigation is denied, the complainant, utility, or consumer advocate has 14 days from the issuance of the denial to request that the commission open a formal complaint proceeding pursuant to subrule </w:t>
      </w:r>
      <w:hyperlink r:id="rId10">
        <w:r>
          <w:rPr>
            <w:rStyle w:val="Hyperlink"/>
            <w:rFonts w:ascii="Times New Roman" w:hAnsi="Times New Roman"/>
            <w:b w:val="false"/>
            <w:i w:val="false"/>
            <w:color w:val="000000"/>
            <w:sz w:val="22"/>
          </w:rPr>
          <w:t>6.5(1)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199—6.5</w:t>
      </w:r>
      <w:r>
        <w:rPr>
          <w:rFonts w:ascii="Times New Roman" w:hAnsi="Times New Roman"/>
          <w:b/>
          <w:i w:val="false"/>
          <w:color w:val="000000"/>
          <w:sz w:val="22"/>
        </w:rPr>
        <w:t xml:space="preserve">(476) </w:t>
      </w:r>
      <w:r>
        <w:rPr>
          <w:rFonts w:ascii="Times New Roman" w:hAnsi="Times New Roman"/>
          <w:b/>
          <w:i w:val="false"/>
          <w:color w:val="000000"/>
          <w:sz w:val="22"/>
        </w:rPr>
        <w:t xml:space="preserve">Initiating formal complaint proceedings. </w:t>
      </w:r>
    </w:p>
    <w:p>
      <w:pPr>
        <w:spacing w:before="0" w:after="0"/>
        <w:ind w:left="120"/>
        <w:jc w:val="both"/>
      </w:pP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Request for formal proceeding based upon a proposed resolution. </w:t>
      </w:r>
      <w:r>
        <w:rPr>
          <w:rFonts w:ascii="Times New Roman" w:hAnsi="Times New Roman"/>
          <w:b w:val="false"/>
          <w:i w:val="false"/>
          <w:color w:val="000000"/>
          <w:sz w:val="22"/>
        </w:rPr>
        <w:t>If the consumer advocate, complainant, or public utility does not agree with the proposed resolution, a request for a formal complaint proceeding may be made in writing within 14 days of the issuance of the proposed resolution. The request for a formal proceeding shall be considered as filed on the date of the United States Postal Service postmark, the date of email, the date of filing in the commission’s electronic filing system, or the date of in-person delivery to the commission’s customer service bureau. The request shall include the file number of the informal complaint. The request shall explain why the proposed resolution should be modified or rejected and shall propose an alternate resolution. All parties to the informal complaint shall be provided copies of the request for a formal proceeding. Any other party to the informal complaint investigation may submit a response to the request for a formal proceeding within ten days of the date the request was submitted to the commission.</w:t>
      </w:r>
    </w:p>
    <w:p>
      <w:pPr>
        <w:spacing w:before="0" w:after="0"/>
        <w:ind w:left="120"/>
        <w:jc w:val="both"/>
      </w:pP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Request for formal complaint proceeding. </w:t>
      </w:r>
      <w:r>
        <w:rPr>
          <w:rFonts w:ascii="Times New Roman" w:hAnsi="Times New Roman"/>
          <w:b w:val="false"/>
          <w:i w:val="false"/>
          <w:color w:val="000000"/>
          <w:sz w:val="22"/>
        </w:rPr>
        <w:t>Upon receipt of a request for a formal complaint proceeding, the commission shall issue an order either granting or denying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199—6.6</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Applicable procedures. </w:t>
      </w:r>
      <w:r>
        <w:rPr>
          <w:rFonts w:ascii="Times New Roman" w:hAnsi="Times New Roman"/>
          <w:b w:val="false"/>
          <w:i w:val="false"/>
          <w:color w:val="000000"/>
          <w:sz w:val="22"/>
        </w:rPr>
        <w:t xml:space="preserve">When the complaint is docketed as a formal proceeding, the procedures set forth in </w:t>
      </w:r>
      <w:hyperlink r:id="rId11">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199—6.7</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 </w:t>
      </w:r>
      <w:r>
        <w:rPr>
          <w:rFonts w:ascii="Times New Roman" w:hAnsi="Times New Roman"/>
          <w:b w:val="false"/>
          <w:i w:val="false"/>
          <w:color w:val="000000"/>
          <w:sz w:val="22"/>
        </w:rPr>
        <w:t xml:space="preserve">The written complaint and all information obtained during the informal investigation shall be uploaded into the electronic filing system formal complaint docket and be made part of the record in the formal complaint proceeding. The information from the informal complaint investigation shall be redacted pursuant to requirements in </w:t>
      </w:r>
      <w:hyperlink r:id="rId12">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199—6.8</w:t>
      </w:r>
      <w:r>
        <w:rPr>
          <w:rFonts w:ascii="Times New Roman" w:hAnsi="Times New Roman"/>
          <w:b/>
          <w:i w:val="false"/>
          <w:color w:val="000000"/>
          <w:sz w:val="22"/>
        </w:rPr>
        <w:t xml:space="preserve">(476) </w:t>
      </w:r>
      <w:r>
        <w:rPr>
          <w:rFonts w:ascii="Times New Roman" w:hAnsi="Times New Roman"/>
          <w:b/>
          <w:i w:val="false"/>
          <w:color w:val="000000"/>
          <w:sz w:val="22"/>
        </w:rPr>
        <w:t xml:space="preserve">Special procedures for complaints alleging unauthorized changes in telecommunications services. </w:t>
      </w:r>
      <w:r>
        <w:rPr>
          <w:rFonts w:ascii="Times New Roman" w:hAnsi="Times New Roman"/>
          <w:b w:val="false"/>
          <w:i w:val="false"/>
          <w:color w:val="000000"/>
          <w:sz w:val="22"/>
        </w:rPr>
        <w:t xml:space="preserve">Notwithstanding the deregulation of a communications service or facility pursuant to Iowa Code section </w:t>
      </w:r>
      <w:hyperlink r:id="rId13">
        <w:r>
          <w:rPr>
            <w:rStyle w:val="Hyperlink"/>
            <w:rFonts w:ascii="Times New Roman" w:hAnsi="Times New Roman"/>
            <w:b w:val="false"/>
            <w:i w:val="false"/>
            <w:color w:val="000000"/>
            <w:sz w:val="22"/>
          </w:rPr>
          <w:t>476.1D</w:t>
        </w:r>
      </w:hyperlink>
      <w:r>
        <w:rPr>
          <w:rFonts w:ascii="Times New Roman" w:hAnsi="Times New Roman"/>
          <w:b w:val="false"/>
          <w:i w:val="false"/>
          <w:color w:val="000000"/>
          <w:sz w:val="22"/>
        </w:rPr>
        <w:t xml:space="preserve">, complaints alleging an unauthorized change in telecommunications service (more information is contained in the “Unauthorized changes in telecommunications service” rule in </w:t>
      </w:r>
      <w:hyperlink r:id="rId14">
        <w:r>
          <w:rPr>
            <w:rStyle w:val="Hyperlink"/>
            <w:rFonts w:ascii="Times New Roman" w:hAnsi="Times New Roman"/>
            <w:b w:val="false"/>
            <w:i w:val="false"/>
            <w:color w:val="000000"/>
            <w:sz w:val="22"/>
          </w:rPr>
          <w:t>199—Chapter 22</w:t>
        </w:r>
      </w:hyperlink>
      <w:r>
        <w:rPr>
          <w:rFonts w:ascii="Times New Roman" w:hAnsi="Times New Roman"/>
          <w:b w:val="false"/>
          <w:i w:val="false"/>
          <w:color w:val="000000"/>
          <w:sz w:val="22"/>
        </w:rPr>
        <w:t>) will be processed pursuant to this chapter with the following additional or substituted procedures:</w:t>
      </w:r>
    </w:p>
    <w:p>
      <w:pPr>
        <w:spacing w:before="0" w:after="0"/>
        <w:ind w:left="120"/>
        <w:jc w:val="both"/>
      </w:pP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complaint and with the customer’s acknowledgment, a copy of the complaint or a notification of receipt of a telephone or other oral complaint will be forwarded to the executing service provider and the preferred service provider as a request for a change in the customer’s service to the customer’s preferred service provider, unless the service has already been changed to the preferred service provider.</w:t>
      </w:r>
    </w:p>
    <w:p>
      <w:pPr>
        <w:spacing w:before="0" w:after="0"/>
        <w:ind w:left="120"/>
        <w:jc w:val="both"/>
      </w:pP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val="false"/>
          <w:color w:val="000000"/>
          <w:sz w:val="22"/>
        </w:rPr>
        <w:t>The complaint or notification of receipt of a telephone or other oral complaint will also be forwarded to the alleged unauthorized service provider. That entity shall file a response to the complaint within 20 days of the date the complaint or notification of receipt of a telephone or other oral complaint was forwarded. The response must include proof of verification of the customer’s authorization for a change in service or a statement that the unauthorized service provider does not have such proof of verification.</w:t>
      </w:r>
    </w:p>
    <w:p>
      <w:pPr>
        <w:spacing w:before="0" w:after="0"/>
        <w:ind w:left="120"/>
        <w:jc w:val="both"/>
      </w:pP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val="false"/>
          <w:color w:val="000000"/>
          <w:sz w:val="22"/>
        </w:rPr>
        <w:t>If the alleged unauthorized service provider includes with its response alleged proof of verification of the customer’s authorization for a change in service, the response will be forwarded to the customer. The customer will have ten days to challenge the verification or otherwise reply to the service provider’s response.</w:t>
      </w:r>
    </w:p>
    <w:p>
      <w:pPr>
        <w:spacing w:before="0" w:after="0"/>
        <w:ind w:left="120"/>
        <w:jc w:val="both"/>
      </w:pPr>
      <w:r>
        <w:rPr>
          <w:rFonts w:ascii="Times New Roman" w:hAnsi="Times New Roman"/>
          <w:b/>
          <w:i w:val="false"/>
          <w:color w:val="000000"/>
          <w:sz w:val="22"/>
        </w:rPr>
        <w:t>6.8(4)</w:t>
      </w:r>
      <w:r>
        <w:rPr>
          <w:rFonts w:ascii="Times New Roman" w:hAnsi="Times New Roman"/>
          <w:b w:val="false"/>
          <w:i w:val="false"/>
          <w:color w:val="000000"/>
          <w:sz w:val="22"/>
        </w:rPr>
        <w:t> </w:t>
      </w:r>
      <w:r>
        <w:rPr>
          <w:rFonts w:ascii="Times New Roman" w:hAnsi="Times New Roman"/>
          <w:b w:val="false"/>
          <w:i w:val="false"/>
          <w:color w:val="000000"/>
          <w:sz w:val="22"/>
        </w:rPr>
        <w:t>As a part of the informal complaint proceedings, commission staff may issue a proposed resolution to determine the potential liability, including assessment of damages, for unauthorized changes in service among the customer, the previous service provider, the executing service provider, and the submitting service provider, and any other interested person. In all cases, the proposed resolution shall allocate responsibility among the interested persons on the basis of their relative responsibility for the events that are the subject matter of the complaint. For purposes of this rule and in the absence of unusual circumstances, the term “damages” means charges directly relating to the telecommunications services provided to the customer that have appeared or may appear on the customer’s bill. The term “damages” does not include incidental, consequential, or punitive damages.</w:t>
      </w:r>
    </w:p>
    <w:p>
      <w:pPr>
        <w:spacing w:before="0" w:after="0"/>
        <w:ind w:left="120"/>
        <w:jc w:val="both"/>
      </w:pPr>
      <w:r>
        <w:rPr>
          <w:rFonts w:ascii="Times New Roman" w:hAnsi="Times New Roman"/>
          <w:b/>
          <w:i w:val="false"/>
          <w:color w:val="000000"/>
          <w:sz w:val="22"/>
        </w:rPr>
        <w:t>6.8(5)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complainant, the service provider, consumer advocate, or any other interested person directly affected by the proposed decision is dissatisfied with the proposed resolution, a request for formal complaint proceedings may be filed. A request for formal complaint proceedings will be processed by the commission pursuant to rule </w:t>
      </w:r>
      <w:hyperlink r:id="rId15">
        <w:r>
          <w:rPr>
            <w:rStyle w:val="Hyperlink"/>
            <w:rFonts w:ascii="Times New Roman" w:hAnsi="Times New Roman"/>
            <w:b w:val="false"/>
            <w:i w:val="false"/>
            <w:color w:val="000000"/>
            <w:sz w:val="22"/>
          </w:rPr>
          <w:t>199—6.5(476)</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If no request for formal complaint proceedings is received by the commission within 14 days after issuance of the proposed resolution, the proposed resolution will be deemed binding upon all persons notified of the informal proceedings and affected by the proposed resolution. Notwithstanding the binding nature of any proposed resolution as to the affected persons, the commission may at any time and on its own motion initiate formal proceedings that may alter the allocation of liability.</w:t>
      </w:r>
    </w:p>
    <w:p>
      <w:pPr>
        <w:spacing w:before="0" w:after="0"/>
        <w:ind w:left="120"/>
        <w:jc w:val="both"/>
      </w:pPr>
      <w:r>
        <w:rPr>
          <w:rFonts w:ascii="Times New Roman" w:hAnsi="Times New Roman"/>
          <w:b/>
          <w:i w:val="false"/>
          <w:color w:val="000000"/>
          <w:sz w:val="22"/>
        </w:rPr>
        <w:t>6.8(6)</w:t>
      </w:r>
      <w:r>
        <w:rPr>
          <w:rFonts w:ascii="Times New Roman" w:hAnsi="Times New Roman"/>
          <w:b w:val="false"/>
          <w:i w:val="false"/>
          <w:color w:val="000000"/>
          <w:sz w:val="22"/>
        </w:rPr>
        <w:t> </w:t>
      </w:r>
      <w:r>
        <w:rPr>
          <w:rFonts w:ascii="Times New Roman" w:hAnsi="Times New Roman"/>
          <w:b w:val="false"/>
          <w:i w:val="false"/>
          <w:color w:val="000000"/>
          <w:sz w:val="22"/>
        </w:rPr>
        <w:t>No entity may commence any actions to rebill, directly bill, or otherwise collect any disputed charges for a change in service until after commission action on the complaint is final. If final commission action finds that the change in service was unauthorized and determines the customer should pay some amount less than the billed amount, the service provider is prohibited from rebilling or taking any other steps whatsoever to collect the difference between the allowed charges and the original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476.103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7/4/51]</w:t>
      </w:r>
    </w:p>
    <w:p>
      <w:pPr>
        <w:spacing w:before="0" w:after="0"/>
        <w:ind w:left="120"/>
        <w:jc w:val="center"/>
      </w:pPr>
      <w:r>
        <w:rPr>
          <w:rFonts w:ascii="Times New Roman" w:hAnsi="Times New Roman"/>
          <w:b w:val="false"/>
          <w:i w:val="false"/>
          <w:color w:val="000000"/>
          <w:sz w:val="21"/>
        </w:rPr>
        <w:t>[Filed without Notice 10/8/75—published 10/20/75]</w:t>
      </w:r>
    </w:p>
    <w:p>
      <w:pPr>
        <w:spacing w:before="0" w:after="0"/>
        <w:ind w:left="120"/>
        <w:jc w:val="center"/>
      </w:pPr>
      <w:r>
        <w:rPr>
          <w:rFonts w:ascii="Times New Roman" w:hAnsi="Times New Roman"/>
          <w:b w:val="false"/>
          <w:i w:val="false"/>
          <w:color w:val="000000"/>
          <w:sz w:val="21"/>
        </w:rPr>
        <w:t>[Filed 2/11/76, Notice 7/14/76—published 2/23/76, effective 3/29/76]</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5/18/84, Notice 2/15/84—published 6/6/84, effective 7/11/84]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5/29/87, Notice 3/11/87—published 6/17/87, effective 9/16/87]</w:t>
      </w:r>
    </w:p>
    <w:p>
      <w:pPr>
        <w:spacing w:before="0" w:after="0"/>
        <w:ind w:left="120"/>
        <w:jc w:val="center"/>
      </w:pPr>
      <w:r>
        <w:rPr>
          <w:rFonts w:ascii="Times New Roman" w:hAnsi="Times New Roman"/>
          <w:b w:val="false"/>
          <w:i w:val="false"/>
          <w:color w:val="000000"/>
          <w:sz w:val="21"/>
        </w:rPr>
        <w:t>[Filed 10/16/87, Notice 8/26/87—published 11/4/87, effective 12/9/87]</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emergency 7/23/99—published 8/11/99, effective 8/2/99]</w:t>
      </w:r>
    </w:p>
    <w:p>
      <w:pPr>
        <w:spacing w:before="0" w:after="0"/>
        <w:ind w:left="120"/>
        <w:jc w:val="center"/>
      </w:pPr>
      <w:r>
        <w:rPr>
          <w:rFonts w:ascii="Times New Roman" w:hAnsi="Times New Roman"/>
          <w:b w:val="false"/>
          <w:i w:val="false"/>
          <w:color w:val="000000"/>
          <w:sz w:val="21"/>
        </w:rPr>
        <w:t>[Filed 4/28/00, Notice 8/11/99—published 5/17/00, effective 6/21/00]</w:t>
      </w:r>
    </w:p>
    <w:p>
      <w:pPr>
        <w:spacing w:before="0" w:after="0"/>
        <w:ind w:left="120"/>
        <w:jc w:val="center"/>
      </w:pPr>
      <w:r>
        <w:rPr>
          <w:rFonts w:ascii="Times New Roman" w:hAnsi="Times New Roman"/>
          <w:b w:val="false"/>
          <w:i w:val="false"/>
          <w:color w:val="000000"/>
          <w:sz w:val="21"/>
        </w:rPr>
        <w:t>[Filed 11/19/03, Notice 4/2/03—published 12/10/03, effective 1/14/04]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4253C</w:t>
      </w:r>
      <w:r>
        <w:rPr>
          <w:rFonts w:ascii="Times New Roman" w:hAnsi="Times New Roman"/>
          <w:b w:val="false"/>
          <w:i w:val="false"/>
          <w:color w:val="000000"/>
          <w:sz w:val="21"/>
        </w:rPr>
        <w:t xml:space="preserve"> (Notice ARC 3850C, IAB 6/20/18)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7635C</w:t>
      </w:r>
      <w:r>
        <w:rPr>
          <w:rFonts w:ascii="Times New Roman" w:hAnsi="Times New Roman"/>
          <w:b w:val="false"/>
          <w:i w:val="false"/>
          <w:color w:val="000000"/>
          <w:sz w:val="21"/>
        </w:rPr>
        <w:t xml:space="preserve"> (Notice ARC 7124C, IAB 11/29/23)</w:t>
      </w:r>
      <w:r>
        <w:rPr>
          <w:rFonts w:ascii="Times New Roman" w:hAnsi="Times New Roman"/>
          <w:b w:val="false"/>
          <w:i w:val="false"/>
          <w:color w:val="000000"/>
          <w:sz w:val="21"/>
        </w:rPr>
        <w:t>, IAB 2/21/24, effective 3/27/24]</w:t>
      </w:r>
    </w:p>
    <w:p>
      <w:pPr>
        <w:spacing w:before="0" w:after="0"/>
        <w:ind w:left="120"/>
        <w:jc w:val="center"/>
      </w:pPr>
      <w:r>
        <w:rPr>
          <w:rFonts w:ascii="Times New Roman" w:hAnsi="Times New Roman"/>
          <w:b w:val="false"/>
          <w:i w:val="false"/>
          <w:color w:val="000000"/>
          <w:sz w:val="21"/>
        </w:rPr>
        <w:t>[Editorial change: IAC Supplement 7/24/24]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Effective date of chapter </w:t>
      </w:r>
      <w:hyperlink r:id="rId20">
        <w:r>
          <w:rPr>
            <w:rStyle w:val="Hyperlink"/>
            <w:rFonts w:ascii="Times New Roman" w:hAnsi="Times New Roman"/>
            <w:b w:val="false"/>
            <w:i w:val="false"/>
            <w:color w:val="000000"/>
            <w:sz w:val="16"/>
          </w:rPr>
          <w:t>6</w:t>
        </w:r>
      </w:hyperlink>
      <w:r>
        <w:rPr>
          <w:rFonts w:ascii="Times New Roman" w:hAnsi="Times New Roman"/>
          <w:b w:val="false"/>
          <w:i w:val="false"/>
          <w:color w:val="000000"/>
          <w:sz w:val="16"/>
        </w:rPr>
        <w:t xml:space="preserve"> delayed 70 days by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ustomer@iuc.iowa.gov" Type="http://schemas.openxmlformats.org/officeDocument/2006/relationships/hyperlink" Id="rId4"/>
    <Relationship TargetMode="External" Target="https://www.legis.iowa.gov/docs/iac/rule/199.6.2.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pdf" Type="http://schemas.openxmlformats.org/officeDocument/2006/relationships/hyperlink" Id="rId7"/>
    <Relationship TargetMode="External" Target="https://www.legis.iowa.gov/docs/iac/rule/199.6.2.pdf" Type="http://schemas.openxmlformats.org/officeDocument/2006/relationships/hyperlink" Id="rId8"/>
    <Relationship TargetMode="External" Target="https://www.legis.iowa.gov/docs/iac/rule/199.6.5.pdf" Type="http://schemas.openxmlformats.org/officeDocument/2006/relationships/hyperlink" Id="rId9"/>
    <Relationship TargetMode="External" Target="https://www.legis.iowa.gov/docs/iac/rule/199.6.5.pdf" Type="http://schemas.openxmlformats.org/officeDocument/2006/relationships/hyperlink" Id="rId10"/>
    <Relationship TargetMode="External" Target="https://www.legis.iowa.gov/docs/iac/chapter/199.7.pdf" Type="http://schemas.openxmlformats.org/officeDocument/2006/relationships/hyperlink" Id="rId11"/>
    <Relationship TargetMode="External" Target="https://www.legis.iowa.gov/docs/iac/chapter/199.7.pdf" Type="http://schemas.openxmlformats.org/officeDocument/2006/relationships/hyperlink" Id="rId12"/>
    <Relationship TargetMode="External" Target="https://www.legis.iowa.gov/docs/ico/chapter/476.pdf" Type="http://schemas.openxmlformats.org/officeDocument/2006/relationships/hyperlink" Id="rId13"/>
    <Relationship TargetMode="External" Target="https://www.legis.iowa.gov/docs/iac/chapter/199.22.pdf" Type="http://schemas.openxmlformats.org/officeDocument/2006/relationships/hyperlink" Id="rId14"/>
    <Relationship TargetMode="External" Target="https://www.legis.iowa.gov/docs/iac/rule/199.6.5.pdf" Type="http://schemas.openxmlformats.org/officeDocument/2006/relationships/hyperlink" Id="rId15"/>
    <Relationship TargetMode="External" Target="https://www.legis.iowa.gov/docs/ico/chapter/476.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co/chapter/476.pdf" Type="http://schemas.openxmlformats.org/officeDocument/2006/relationships/hyperlink" Id="rId18"/>
    <Relationship TargetMode="External" Target="https://www.legis.iowa.gov/docs/ico/chapter/546.pdf" Type="http://schemas.openxmlformats.org/officeDocument/2006/relationships/hyperlink" Id="rId19"/>
    <Relationship TargetMode="External" Target="https://www.legis.iowa.gov/docs/iac/chapter/199.6.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