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RATEMAKING PRINCIPLES PROCEEDING</w:t>
      </w:r>
    </w:p>
    <w:p>
      <w:pPr>
        <w:spacing w:before="0" w:after="0"/>
        <w:ind w:left="120"/>
        <w:jc w:val="both"/>
      </w:pPr>
      <w:r>
        <w:rPr>
          <w:rFonts w:ascii="Times New Roman" w:hAnsi="Times New Roman"/>
          <w:b/>
          <w:i w:val="false"/>
          <w:color w:val="000000"/>
          <w:sz w:val="22"/>
        </w:rPr>
        <w:t>199—41.1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“Affiliate” </w:t>
      </w:r>
      <w:r>
        <w:rPr>
          <w:rFonts w:ascii="Times New Roman" w:hAnsi="Times New Roman"/>
          <w:b w:val="false"/>
          <w:i w:val="false"/>
          <w:color w:val="000000"/>
          <w:sz w:val="22"/>
        </w:rPr>
        <w:t>means a party that directly, or indirectly through one or more intermediaries, controls, is controlled by, or is under common control with a rate-regulated public utility.</w:t>
      </w:r>
    </w:p>
    <w:p>
      <w:pPr>
        <w:spacing w:before="0" w:after="0"/>
        <w:ind w:left="120"/>
        <w:jc w:val="both"/>
      </w:pPr>
      <w:r>
        <w:rPr>
          <w:rFonts w:ascii="Times New Roman" w:hAnsi="Times New Roman"/>
          <w:b w:val="false"/>
          <w:i/>
          <w:color w:val="000000"/>
          <w:sz w:val="22"/>
        </w:rPr>
        <w:t xml:space="preserve">“AFUDC” </w:t>
      </w:r>
      <w:r>
        <w:rPr>
          <w:rFonts w:ascii="Times New Roman" w:hAnsi="Times New Roman"/>
          <w:b w:val="false"/>
          <w:i w:val="false"/>
          <w:color w:val="000000"/>
          <w:sz w:val="22"/>
        </w:rPr>
        <w:t>means allowance for funds used during construction.</w:t>
      </w:r>
    </w:p>
    <w:p>
      <w:pPr>
        <w:spacing w:before="0" w:after="0"/>
        <w:ind w:left="120"/>
        <w:jc w:val="both"/>
      </w:pPr>
      <w:r>
        <w:rPr>
          <w:rFonts w:ascii="Times New Roman" w:hAnsi="Times New Roman"/>
          <w:b w:val="false"/>
          <w:i/>
          <w:color w:val="000000"/>
          <w:sz w:val="22"/>
        </w:rPr>
        <w:t xml:space="preserve">“Alternate energy production facility” </w:t>
      </w:r>
      <w:r>
        <w:rPr>
          <w:rFonts w:ascii="Times New Roman" w:hAnsi="Times New Roman"/>
          <w:b w:val="false"/>
          <w:i w:val="false"/>
          <w:color w:val="000000"/>
          <w:sz w:val="22"/>
        </w:rPr>
        <w:t>means any or all of the following:</w:t>
      </w:r>
    </w:p>
    <w:p>
      <w:pPr>
        <w:numPr>
          <w:ilvl w:val="0"/>
          <w:numId w:val="3"/>
        </w:numPr>
        <w:spacing w:before="0" w:after="0"/>
        <w:jc w:val="both"/>
      </w:pPr>
      <w:r>
        <w:rPr>
          <w:rFonts w:ascii="Times New Roman" w:hAnsi="Times New Roman"/>
          <w:b w:val="false"/>
          <w:i w:val="false"/>
          <w:color w:val="000000"/>
          <w:sz w:val="22"/>
        </w:rPr>
        <w:t>A solar, wind turbine, waste management, resource recovery, refuse-derived fuel, agricultural crops or residues, or woodburning facility.</w:t>
      </w:r>
    </w:p>
    <w:p>
      <w:pPr>
        <w:numPr>
          <w:ilvl w:val="0"/>
          <w:numId w:val="3"/>
        </w:numPr>
        <w:spacing w:before="0" w:after="0"/>
        <w:jc w:val="both"/>
      </w:pPr>
      <w:r>
        <w:rPr>
          <w:rFonts w:ascii="Times New Roman" w:hAnsi="Times New Roman"/>
          <w:b w:val="false"/>
          <w:i w:val="false"/>
          <w:color w:val="000000"/>
          <w:sz w:val="22"/>
        </w:rPr>
        <w:t>Land, systems, buildings, or improvements that are located at the project site and are necessary or convenient to the construction, completion, or operation of the facility.</w:t>
      </w:r>
    </w:p>
    <w:p>
      <w:pPr>
        <w:numPr>
          <w:ilvl w:val="0"/>
          <w:numId w:val="3"/>
        </w:numPr>
        <w:spacing w:before="0" w:after="0"/>
        <w:jc w:val="both"/>
      </w:pPr>
      <w:r>
        <w:rPr>
          <w:rFonts w:ascii="Times New Roman" w:hAnsi="Times New Roman"/>
          <w:b w:val="false"/>
          <w:i w:val="false"/>
          <w:color w:val="000000"/>
          <w:sz w:val="22"/>
        </w:rPr>
        <w:t>Transmission or distribution facilities necessary to conduct the energy produced by the facility to users located at or near the project site.</w:t>
      </w:r>
    </w:p>
    <w:p>
      <w:pPr>
        <w:spacing w:before="0" w:after="0"/>
        <w:ind w:left="120"/>
        <w:jc w:val="both"/>
      </w:pPr>
      <w:r>
        <w:rPr>
          <w:rFonts w:ascii="Times New Roman" w:hAnsi="Times New Roman"/>
          <w:b w:val="false"/>
          <w:i w:val="false"/>
          <w:color w:val="000000"/>
          <w:sz w:val="22"/>
        </w:rPr>
        <w:t>A facility which is a qualifying facility under 18 CFR Part 292, Subpart B, is not precluded from being an alternate energy production facility under this chapter.</w:t>
      </w:r>
    </w:p>
    <w:p>
      <w:pPr>
        <w:spacing w:before="0" w:after="0"/>
        <w:ind w:left="120"/>
        <w:jc w:val="both"/>
      </w:pPr>
      <w:r>
        <w:rPr>
          <w:rFonts w:ascii="Times New Roman" w:hAnsi="Times New Roman"/>
          <w:b w:val="false"/>
          <w:i/>
          <w:color w:val="000000"/>
          <w:sz w:val="22"/>
        </w:rPr>
        <w:t xml:space="preserve">“Baseload generation” </w:t>
      </w:r>
      <w:r>
        <w:rPr>
          <w:rFonts w:ascii="Times New Roman" w:hAnsi="Times New Roman"/>
          <w:b w:val="false"/>
          <w:i w:val="false"/>
          <w:color w:val="000000"/>
          <w:sz w:val="22"/>
        </w:rPr>
        <w:t>refers to generating units designed for normal operation to serve all or part of the minimum load of the system on an around-the-clock basis. These units are operated to maximize system mechanical and thermal efficiency and minimize system operating costs.</w:t>
      </w:r>
    </w:p>
    <w:p>
      <w:pPr>
        <w:spacing w:before="0" w:after="0"/>
        <w:ind w:left="120"/>
        <w:jc w:val="both"/>
      </w:pPr>
      <w:r>
        <w:rPr>
          <w:rFonts w:ascii="Times New Roman" w:hAnsi="Times New Roman"/>
          <w:b w:val="false"/>
          <w:i/>
          <w:color w:val="000000"/>
          <w:sz w:val="22"/>
        </w:rPr>
        <w:t xml:space="preserve">“Combined-cycle combustion turbine” </w:t>
      </w:r>
      <w:r>
        <w:rPr>
          <w:rFonts w:ascii="Times New Roman" w:hAnsi="Times New Roman"/>
          <w:b w:val="false"/>
          <w:i w:val="false"/>
          <w:color w:val="000000"/>
          <w:sz w:val="22"/>
        </w:rPr>
        <w:t>means an electric generating technology in which the efficiency of electric generation is increased by using otherwise lost waste heat exiting from one or more combustion turbines. The exiting heat is routed to a boiler or to a heat recovery steam generator for utilization by a steam turbine in the production of electricity.</w:t>
      </w:r>
    </w:p>
    <w:p>
      <w:pPr>
        <w:spacing w:before="0" w:after="0"/>
        <w:ind w:left="120"/>
        <w:jc w:val="both"/>
      </w:pPr>
      <w:r>
        <w:rPr>
          <w:rFonts w:ascii="Times New Roman" w:hAnsi="Times New Roman"/>
          <w:b w:val="false"/>
          <w:i/>
          <w:color w:val="000000"/>
          <w:sz w:val="22"/>
        </w:rPr>
        <w:t xml:space="preserve">“Control” </w:t>
      </w:r>
      <w:r>
        <w:rPr>
          <w:rFonts w:ascii="Times New Roman" w:hAnsi="Times New Roman"/>
          <w:b w:val="false"/>
          <w:i w:val="false"/>
          <w:color w:val="000000"/>
          <w:sz w:val="22"/>
        </w:rPr>
        <w:t>means the possession, direct or indirect, of the power to direct or cause the direction of the management and policies of an enterprise through ownership, by contract or otherwise.</w:t>
      </w:r>
    </w:p>
    <w:p>
      <w:pPr>
        <w:spacing w:before="0" w:after="0"/>
        <w:ind w:left="120"/>
        <w:jc w:val="both"/>
      </w:pPr>
      <w:r>
        <w:rPr>
          <w:rFonts w:ascii="Times New Roman" w:hAnsi="Times New Roman"/>
          <w:b w:val="false"/>
          <w:i/>
          <w:color w:val="000000"/>
          <w:sz w:val="22"/>
        </w:rPr>
        <w:t xml:space="preserve">“Emission 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both"/>
      </w:pP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facility for which advance ratemaking principles may be sought pursuant to Iowa Code section </w:t>
      </w:r>
      <w:hyperlink r:id="rId4">
        <w:r>
          <w:rPr>
            <w:rStyle w:val="Hyperlink"/>
            <w:rFonts w:ascii="Times New Roman" w:hAnsi="Times New Roman"/>
            <w:b w:val="false"/>
            <w:i w:val="false"/>
            <w:color w:val="000000"/>
            <w:sz w:val="22"/>
          </w:rPr>
          <w:t>476.53(3)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term includes energy storage systems located at the site of an alternate energy production facility.</w:t>
      </w:r>
    </w:p>
    <w:p>
      <w:pPr>
        <w:spacing w:before="0" w:after="0"/>
        <w:ind w:left="120"/>
        <w:jc w:val="both"/>
      </w:pPr>
      <w:r>
        <w:rPr>
          <w:rFonts w:ascii="Times New Roman" w:hAnsi="Times New Roman"/>
          <w:b w:val="false"/>
          <w:i/>
          <w:color w:val="000000"/>
          <w:sz w:val="22"/>
        </w:rPr>
        <w:t xml:space="preserve">“kWh” </w:t>
      </w:r>
      <w:r>
        <w:rPr>
          <w:rFonts w:ascii="Times New Roman" w:hAnsi="Times New Roman"/>
          <w:b w:val="false"/>
          <w:i w:val="false"/>
          <w:color w:val="000000"/>
          <w:sz w:val="22"/>
        </w:rPr>
        <w:t>means kilowatt-hour.</w:t>
      </w:r>
    </w:p>
    <w:p>
      <w:pPr>
        <w:spacing w:before="0" w:after="0"/>
        <w:ind w:left="120"/>
        <w:jc w:val="both"/>
      </w:pPr>
      <w:r>
        <w:rPr>
          <w:rFonts w:ascii="Times New Roman" w:hAnsi="Times New Roman"/>
          <w:b w:val="false"/>
          <w:i/>
          <w:color w:val="000000"/>
          <w:sz w:val="22"/>
        </w:rPr>
        <w:t xml:space="preserve">“Opportunity sales” </w:t>
      </w:r>
      <w:r>
        <w:rPr>
          <w:rFonts w:ascii="Times New Roman" w:hAnsi="Times New Roman"/>
          <w:b w:val="false"/>
          <w:i w:val="false"/>
          <w:color w:val="000000"/>
          <w:sz w:val="22"/>
        </w:rPr>
        <w:t>means sales of electricity from a particular facility at market price after all contracted and firm transactions have been met.</w:t>
      </w:r>
    </w:p>
    <w:p>
      <w:pPr>
        <w:spacing w:before="0" w:after="0"/>
        <w:ind w:left="120"/>
        <w:jc w:val="both"/>
      </w:pPr>
      <w:r>
        <w:rPr>
          <w:rFonts w:ascii="Times New Roman" w:hAnsi="Times New Roman"/>
          <w:b w:val="false"/>
          <w:i/>
          <w:color w:val="000000"/>
          <w:sz w:val="22"/>
        </w:rPr>
        <w:t xml:space="preserve">“Repowering” </w:t>
      </w:r>
      <w:r>
        <w:rPr>
          <w:rFonts w:ascii="Times New Roman" w:hAnsi="Times New Roman"/>
          <w:b w:val="false"/>
          <w:i w:val="false"/>
          <w:color w:val="000000"/>
          <w:sz w:val="22"/>
        </w:rPr>
        <w:t>means either the complete dismantling and replacement of generation equipment at an existing project site or the installation of new parts and equipment to an existing alternate energy production facility in order to increase energy production, reduce load, increase service capacity, improve project reliability, or extend the useful life of the facility.</w:t>
      </w:r>
    </w:p>
    <w:p>
      <w:pPr>
        <w:spacing w:before="0" w:after="0"/>
        <w:ind w:left="120"/>
        <w:jc w:val="both"/>
      </w:pPr>
      <w:r>
        <w:rPr>
          <w:rFonts w:ascii="Times New Roman" w:hAnsi="Times New Roman"/>
          <w:b w:val="false"/>
          <w:i/>
          <w:color w:val="000000"/>
          <w:sz w:val="22"/>
        </w:rPr>
        <w:t xml:space="preserve">“Utility” </w:t>
      </w:r>
      <w:r>
        <w:rPr>
          <w:rFonts w:ascii="Times New Roman" w:hAnsi="Times New Roman"/>
          <w:b w:val="false"/>
          <w:i w:val="false"/>
          <w:color w:val="000000"/>
          <w:sz w:val="22"/>
        </w:rPr>
        <w:t>means either a rate-regulated electric public utility selling to retail customers in Iowa or a rate-regulated public utility acquiring a water, sanitary sewage, or storm water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199—41.2</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purpose. </w:t>
      </w:r>
    </w:p>
    <w:p>
      <w:pPr>
        <w:spacing w:before="0" w:after="0"/>
        <w:ind w:left="120"/>
        <w:jc w:val="both"/>
      </w:pP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5">
        <w:r>
          <w:rPr>
            <w:rStyle w:val="Hyperlink"/>
            <w:rFonts w:ascii="Times New Roman" w:hAnsi="Times New Roman"/>
            <w:b w:val="false"/>
            <w:i w:val="false"/>
            <w:color w:val="000000"/>
            <w:sz w:val="22"/>
          </w:rPr>
          <w:t>199—41.3</w:t>
        </w:r>
      </w:hyperlink>
      <w:r>
        <w:rPr>
          <w:rFonts w:ascii="Times New Roman" w:hAnsi="Times New Roman"/>
          <w:b w:val="false"/>
          <w:i w:val="false"/>
          <w:color w:val="000000"/>
          <w:sz w:val="22"/>
        </w:rPr>
        <w:t>(476) and 199—41.4(476) apply to any rate-regulated public electric utility proposing to build or lease in Iowa, either in whole or in part, a new baseload generating facility with a nameplate generating capacity equal to or greater than 300 megawatts, a new combined-cycle combustion turbine of any size, a new or repowered alternate energy production facility of any size, or any combination of the above, and desiring predetermination of ratemaking principles to be used in establishing the retail cost recovery of such a facility. These rules set the initial filing requirements in a ratemaking principles proceeding depending on the specific circumstances of a filing.</w:t>
      </w:r>
    </w:p>
    <w:p>
      <w:pPr>
        <w:spacing w:before="0" w:after="0"/>
        <w:ind w:left="120"/>
        <w:jc w:val="both"/>
      </w:pP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6">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 xml:space="preserve">(476) applies to any rate-regulated public utility acquiring a water, sanitary sewage, or storm water system with a fair market value of $500,000 or more from a non-rate-regulated entity described in Iowa Code section </w:t>
      </w:r>
      <w:hyperlink r:id="rId7">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Rule </w:t>
      </w:r>
      <w:hyperlink r:id="rId8">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(476) sets the initial filing requirements in a ratemaking principles proceeding related to the acquisition.</w:t>
      </w:r>
    </w:p>
    <w:p>
      <w:pPr>
        <w:spacing w:before="0" w:after="0"/>
        <w:ind w:left="120"/>
        <w:jc w:val="both"/>
      </w:pP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require additional information from an applicant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199—41.3</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for predetermined ratemaking principles; contents. </w:t>
      </w:r>
      <w:r>
        <w:rPr>
          <w:rFonts w:ascii="Times New Roman" w:hAnsi="Times New Roman"/>
          <w:b w:val="false"/>
          <w:i w:val="false"/>
          <w:color w:val="000000"/>
          <w:sz w:val="22"/>
        </w:rPr>
        <w:t>Each person or group of persons proposing to construct, repower, or lease a facility and desiring predetermination of ratemaking principles for costing that facility shall file an application with the commission. An application may be for one facility or a combination of facilities necessary to meet the current and future resource needs of the utility. An application for ratemaking principles must demonstrate that the utility has considered other sources for long-term electric supply and that the facility or lease is reasonable when compared to other feasible alternative sources of supply. At a minimum, an application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purpose of the proposed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 description of the current and proposed rights of ownership in the proposed facility and current or planned purchased power contracts with respect to the proposed facility.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baseload electric power generating facility with a nameplate generating capacity equal to or greater than 300 megawatts, a combined-cycle electric power generating facility, or repowering of a facility, a general site description including a legal description of the site; a map showing the coordinates of the site and its location with respect to state, county, and other political subdivisions; and prominent features such as cities, lakes, rivers, and parks within the site impact area. For an alternative energy production facility, to the extent feasible, a general site description including a description of the site location or locations; map(s) showing the coordinates of the site(s) and location(s) with respect to state, county, and other political subdivisions; and prominent features such as cities, lakes, rivers and parks within the site impact area(s).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proposed facility, including a description of the expected principal characteristics of the facility such as the capacity of the proposed facility in megawatts expressed by the contract maximum generator megawatt rating, the expected net facility addition to the system in megawatts by net to the busbar rating, and the portion of the design capacity, in megawatts, of the proposed facility which is proposed to be available for use by each participant; the expected number and type of generating units; the primary fuel source for each such unit; the total hours of operation anticipated seasonally and annually and output during these hours; the expected capacity factors; a description of the expected general arrangement of major structures and equipment to provide the commission with an understanding of the general layout of the facility; and a projected schedule for the facility’s construction and utilization, including the projected date when a significant site alteration is proposed to begin and the projected in-service date of the facility. For this purpose, a group of several similar generating units operated together at the same location such that segregated records of energy output are not available shall be considered a single unit.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raw materials, including fuel, used by the proposed facility in producing electricity and of the wastes created in the production process. In addition to describing the wastes created in the production process, the applicant shall determine annual expected emissions from the facility and provide a plan for acquiring allowances sufficient to offset these emissions. The applicant shall describe all transportation facilities currently operating that will be available to serve the proposed facility, and any additional transportation facilities needed to deliver raw materials and to remove wastes.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identification, general description, and chronology of all material financial and other contractual commitments undertaken or planned to be undertaken with respect to the proposed facility.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map and description of the primary transportation corridors and the approximate routing of the rights-of-way in the vicinity of the settled areas, parks, recreational areas, and scenic areas.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general analysis of the existing transmission system’s capability to reliably support the proposed additional generation interconnection to the system. In the alternative, the applicant may provide testimony that (1) it will follow the interconnection requirements of the local and regional transmission authorities; (2) it is committed to meeting the pertinent transmission requirements with respect to the proposed facility; and (3) the applicant assures the commission that the interconnection of the proposed facility will not degrade the adequacy, reliability, or operating flexibility of the transmission system from a regional or local perspective. </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general contractor for the proposed facility and the method by which the general contractor was selected. If a general contractor has not yet been selected, the utility shall identify the process by which the general contractor will be selected and the anticipated timeline for selecting a general contractor.</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plant operator for the proposed facility and the method by which the plant operator was selected. If a plant operator has not yet been selected, the utility shall identify the process by which a plant operator will be selected and the anticipated timeline for selecting a plant operator.</w:t>
      </w:r>
    </w:p>
    <w:p>
      <w:pPr>
        <w:spacing w:before="0" w:after="0"/>
        <w:ind w:left="120"/>
        <w:jc w:val="both"/>
      </w:pP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Economic evaluation of proposed facility. </w:t>
      </w:r>
      <w:r>
        <w:rPr>
          <w:rFonts w:ascii="Times New Roman" w:hAnsi="Times New Roman"/>
          <w:b w:val="false"/>
          <w:i w:val="false"/>
          <w:color w:val="000000"/>
          <w:sz w:val="22"/>
        </w:rPr>
        <w:t>An application shall include an overall economic evaluation of the proposed facility using conventional capital evaluation techniques and the proposed ratemaking principles. Material assumptions used in the analysis shall be disclosed. At a minimum, the evaluation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Net present value calculations. An application shall include projected annual and total net present value calculations of projected revenue requirements and capital costs over the expected life of the proposed facility. If a traditional revenue requirement analysis does not account for revenue-sharing arrangements, riders, or other mechanisms that impact Iowa retail customer bills, the utility shall also provide projected annual and total net present value calculations that show the impact on amounts that will actually be paid by Iowa retail customers accounting for such mechanisms. To the extent the utility has projected revenue deficiencies within the period of analysis, the utility shall also provide the estimated effect the proposed facility will have on these calculations. In making these calculations, the utility shall detail the following cost assumptions: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Installed cost. The utility shall provide an itemized statement of the estimated total costs to construct the proposed facility. Such estimated costs shall include, but not be limited to, the estimated cost of all electric power generating units; all electric supply lines within the proposed facility site boundary; all electric supply lines beyond the proposed facility site boundary with a voltage of 69 kilovolts or higher used for transmitting power from the proposed facility to the point of junction with the distribution system or with the interconnected primary transmission system; all appurtenant or miscellaneous structures used and useful in connection with the proposed facility or any part thereof; all rights-of-way, lands, or interest in lands the use and occupancy of which are necessary or appropriate in the maintenance or operation of said facility; engineering and development; sales taxes; and AFUDC (if applicable). The estimated costs of all electric power generating units shall include all estimated costs of transmission and gas interconnection (if applicable). Estimated facility costs shall be expressed in absolute terms and in dollars per kilowatt. The absolute and per-kilowatt estimated construction costs shall be adjusted by the expected rate of inflation from the time the estimated construction costs are calculated to the time the proposed facility is scheduled for operation.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Fixed expenses. For each year of the proposed facility’s expected life from the time of application to the end of the proposed facility’s expected life, the utility shall file projected expense factors for fixed operation and maintenance costs; property, income, and other taxes; and straight-line and tax depreciation rights.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Variable expenses. For each year of the proposed facility’s expected life from the scheduled time of operation to the end of the proposed facility’s expected life, the utility shall file expected variable operation and maintenance costs including the cost of fuel and emission allowances. These expected costs shall be reported in absolute terms and on a kWh basis assuming expected annual capacity factors for the proposed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Cost of capital. The utility shall provide its projected costs of capital for the proposed facility for each year of the proposed facility’s expected life from the time of application to the end of the proposed facility’s expected life. Material assumptions used in the projections shall be provided, including but not limited to capital structure, cost of preferred stock, cost of debt, and cost of equity.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Cash flows. The utility shall provide the estimated maximum, minimum and expected cash inflows and outflows associated with the proposed facility in each year from the date of the application throughout the proposed facility’s expected life.</w:t>
      </w:r>
    </w:p>
    <w:p>
      <w:pPr>
        <w:spacing w:before="0" w:after="0"/>
        <w:ind w:left="120"/>
        <w:jc w:val="both"/>
      </w:pP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Risk mitigation factors. </w:t>
      </w:r>
      <w:r>
        <w:rPr>
          <w:rFonts w:ascii="Times New Roman" w:hAnsi="Times New Roman"/>
          <w:b w:val="false"/>
          <w:i w:val="false"/>
          <w:color w:val="000000"/>
          <w:sz w:val="22"/>
        </w:rPr>
        <w:t>At a minimum, the following information regarding contractual risk mitigation factors shall be included in an application: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Construction risk mitigation factors. The utility shall provide a general description of the contractual standards that the general contractor, if not the utility, must comply with to mitigate construction risks, including but not limited to cost overruns, labor shortages, failure to meet deadlines, and the need for replacement power if operational deadlines are not met. If the facility will be leased by the utility, the utility shall identify the above factors for both the lessor and the general contractor constructing the facility. The general description shall include all remedies, financial and otherwise, available to the utility for noncompliance with the construction standards and schedules.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Operational risk mitigation factors. The utility shall provide a general description of the contractual standards that the general contractor or the plant operator, if not the utility, must comply with to mitigate operational risks of the facility, including but not limited to low-availability factor and higher-than-expected operation and maintenance costs. The general description shall include a list of all contractual inspections the general contractor must meet before the utility leases or takes ownership of the facility and all remedies, financial and otherwise, available to the utility for noncompliance with the operating standards. If the utility leases the facility from an affiliate, the lease shall contain specific performance standards that the affiliate must meet to avoid financial consequences.</w:t>
      </w:r>
    </w:p>
    <w:p>
      <w:pPr>
        <w:spacing w:before="0" w:after="0"/>
        <w:ind w:left="120"/>
        <w:jc w:val="both"/>
      </w:pP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Noncost factors. </w:t>
      </w:r>
      <w:r>
        <w:rPr>
          <w:rFonts w:ascii="Times New Roman" w:hAnsi="Times New Roman"/>
          <w:b w:val="false"/>
          <w:i w:val="false"/>
          <w:color w:val="000000"/>
          <w:sz w:val="22"/>
        </w:rPr>
        <w:t>The utility shall include in its application a comparison of the proposed facility with other feasible sources of supply related to the following noncost factors: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Economic impact to the state and community where the facility is proposed to be located, including job creation, taxes, and use of state resources.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Environmental impact to the state and community where the facility is proposed to be located.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Electric supply reliability and security in the state.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Fuel diversity and use of nontraditional supply sources such as alternate energy and conservation.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Efficiency and control technologies.</w:t>
      </w:r>
    </w:p>
    <w:p>
      <w:pPr>
        <w:spacing w:before="0" w:after="0"/>
        <w:ind w:left="120"/>
        <w:jc w:val="both"/>
      </w:pP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for proposed 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evidence to justify the use of such principles in costing the facility for regulated retail rate recovery.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Cost of equity. </w:t>
      </w:r>
      <w:r>
        <w:rPr>
          <w:rFonts w:ascii="Times New Roman" w:hAnsi="Times New Roman"/>
          <w:b w:val="false"/>
          <w:i w:val="false"/>
          <w:color w:val="000000"/>
          <w:sz w:val="22"/>
        </w:rPr>
        <w:t>Proposals for establishing the cost of equity shall be supported with analyses which demonstrate the reasonableness of the proposed equity rate for the proposed facility. If sufficient information is available, the analyses shall include a comparison with similar facilities built in the region in recent years.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the depreciable life of the facility shall be supported by commission precedent for the depreciable lives of similar facilities, the manufacturer’s opinion of depreciable life, the applicant’s general depreciation study or analysis, or an engineering study of the depreciable life of the type of facility proposed.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Jurisdictional allocations. </w:t>
      </w:r>
      <w:r>
        <w:rPr>
          <w:rFonts w:ascii="Times New Roman" w:hAnsi="Times New Roman"/>
          <w:b w:val="false"/>
          <w:i w:val="false"/>
          <w:color w:val="000000"/>
          <w:sz w:val="22"/>
        </w:rPr>
        <w:t>Proposals for allocating the cost or output of the proposed facility among jurisdictions shall be supported by jurisdictional allocation studies or recent commission-ordered or -approved allocations for the applicant.</w:t>
      </w:r>
    </w:p>
    <w:p>
      <w:pPr>
        <w:spacing w:before="0" w:after="0"/>
        <w:ind w:left="120"/>
        <w:jc w:val="both"/>
      </w:pP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color w:val="000000"/>
          <w:sz w:val="22"/>
        </w:rPr>
        <w:t xml:space="preserve">Additional application requirements for leasing arrangements. </w:t>
      </w:r>
      <w:r>
        <w:rPr>
          <w:rFonts w:ascii="Times New Roman" w:hAnsi="Times New Roman"/>
          <w:b w:val="false"/>
          <w:i w:val="false"/>
          <w:color w:val="000000"/>
          <w:sz w:val="22"/>
        </w:rPr>
        <w:t>The following additional information shall be filed when a utility is proposing an arrangement in which the utility leases a facility from an affiliate or an independent third party: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method used in selecting the affiliate or independent third party to build the facility (competitive solicitation, sole source, etc.).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lease agreement.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detailed description of the lease agreement, including but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Commitment of capacity from the proposed facility to the utility under the lease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Description of the final disposition of the leased facility at the end of the lease arrangement, including any options available to the utility and the terms of those options.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party responsible for operating, dispatching, and maintaining the facility.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party responsible for the cost of capital improvements, renewals and replacements, environmental compliance, taxes, and all other future costs associated with the facility.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party responsible for contracting capacity from the proposed facility.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party benefitting from revenues received through contracted capacity and opportunity sales.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lessor is an affiliate, a detailed description of the affiliate, including the affiliate’s corporate structure and the utility’s ownership stake in the affiliate, if 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lessor is an affiliate, identification of utility assets transferred to the affiliate for use by the proposed facility and the cost at which those assets were transferred.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lessor is an affiliate, identification of any financial benefits and cost savings, including any tax advantages, accruing to the utility from leasing an affiliate-owned facility versus building a facility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199—41.4</w:t>
      </w:r>
      <w:r>
        <w:rPr>
          <w:rFonts w:ascii="Times New Roman" w:hAnsi="Times New Roman"/>
          <w:b/>
          <w:i w:val="false"/>
          <w:color w:val="000000"/>
          <w:sz w:val="22"/>
        </w:rPr>
        <w:t xml:space="preserve">(476) </w:t>
      </w:r>
      <w:r>
        <w:rPr>
          <w:rFonts w:ascii="Times New Roman" w:hAnsi="Times New Roman"/>
          <w:b/>
          <w:i w:val="false"/>
          <w:color w:val="000000"/>
          <w:sz w:val="22"/>
        </w:rPr>
        <w:t xml:space="preserve">Coincident filing. </w:t>
      </w:r>
      <w:r>
        <w:rPr>
          <w:rFonts w:ascii="Times New Roman" w:hAnsi="Times New Roman"/>
          <w:b w:val="false"/>
          <w:i w:val="false"/>
          <w:color w:val="000000"/>
          <w:sz w:val="22"/>
        </w:rPr>
        <w:t xml:space="preserve">The utility shall have the option of filing its application for ratemaking principles, as required by this chapter, coincident with the utility’s application for a certificate of public convenience, use, and necessity under </w:t>
      </w:r>
      <w:hyperlink r:id="rId9">
        <w:r>
          <w:rPr>
            <w:rStyle w:val="Hyperlink"/>
            <w:rFonts w:ascii="Times New Roman" w:hAnsi="Times New Roman"/>
            <w:b w:val="false"/>
            <w:i w:val="false"/>
            <w:color w:val="000000"/>
            <w:sz w:val="22"/>
          </w:rPr>
          <w:t>199—Chapter 24</w:t>
        </w:r>
      </w:hyperlink>
      <w:r>
        <w:rPr>
          <w:rFonts w:ascii="Times New Roman" w:hAnsi="Times New Roman"/>
          <w:b w:val="false"/>
          <w:i w:val="false"/>
          <w:color w:val="000000"/>
          <w:sz w:val="22"/>
        </w:rPr>
        <w:t>. Identical information required by both chapters need only be included once in a joint principles and certification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199—41.5</w:t>
      </w:r>
      <w:r>
        <w:rPr>
          <w:rFonts w:ascii="Times New Roman" w:hAnsi="Times New Roman"/>
          <w:b/>
          <w:i w:val="false"/>
          <w:color w:val="000000"/>
          <w:sz w:val="22"/>
        </w:rPr>
        <w:t xml:space="preserve">(476) </w:t>
      </w:r>
      <w:r>
        <w:rPr>
          <w:rFonts w:ascii="Times New Roman" w:hAnsi="Times New Roman"/>
          <w:b/>
          <w:i w:val="false"/>
          <w:color w:val="000000"/>
          <w:sz w:val="22"/>
        </w:rPr>
        <w:t xml:space="preserve">Acquisition of a water, sanitary sewage, or storm water utility. </w:t>
      </w:r>
      <w:r>
        <w:rPr>
          <w:rFonts w:ascii="Times New Roman" w:hAnsi="Times New Roman"/>
          <w:b w:val="false"/>
          <w:i w:val="false"/>
          <w:color w:val="000000"/>
          <w:sz w:val="22"/>
        </w:rPr>
        <w:t xml:space="preserve">A rate-regulated public utility proposing to acquire, in whole or in part, a water, sanitary sewage, or storm water system with a fair market value of $500,000 or more from a non-rate-regulated entity described in Iowa Code section </w:t>
      </w:r>
      <w:hyperlink r:id="rId10">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shall file an application for approval of the acquisition with the commission. If the acquisition is approved, ratemaking principles that will apply when the costs of the acquisition are included in regulated rates shall be determined as part of the commission’s review of the application. At a minimum, an application made under this rule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system to be acquired, including the total number of customers, a description of the general arrangement of major structures and equipment, maps of the system, and a general description of the scope of the system.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identification and general description of all material capital investments and operating expenses associated with the proposed acquisition anticipated within five years of the date of the acquisition.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proposed procedural schedule that, at a minimum, provides proposed dates for direct testimony, rebuttal testimony, and a hearing for cross-examination of all testimony. The proposed schedule should generally comply with the commission’s procedural rules in </w:t>
      </w:r>
      <w:hyperlink r:id="rId11">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Acquisition information. </w:t>
      </w:r>
      <w:r>
        <w:rPr>
          <w:rFonts w:ascii="Times New Roman" w:hAnsi="Times New Roman"/>
          <w:b w:val="false"/>
          <w:i w:val="false"/>
          <w:color w:val="000000"/>
          <w:sz w:val="22"/>
        </w:rPr>
        <w:t>An application shall include the following information related to the acquisition: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final reports of both appraisals prepared pursuant to Iowa Code section </w:t>
      </w:r>
      <w:hyperlink r:id="rId12">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Final fair market value of the system as identified in Iowa Code section </w:t>
      </w:r>
      <w:hyperlink r:id="rId13">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final price for the system as negotiated pursuant to Iowa Code section </w:t>
      </w:r>
      <w:hyperlink r:id="rId14">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inventory of the acquired system’s real and personal property as identified in Iowa Code section </w:t>
      </w:r>
      <w:hyperlink r:id="rId15">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financial information sheet prepared pursuant to Iowa Code section </w:t>
      </w:r>
      <w:hyperlink r:id="rId16">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affirmation that the acquiring utility and the acquired system have complied with the applicable components of Iowa Code section </w:t>
      </w:r>
      <w:hyperlink r:id="rId17">
        <w:r>
          <w:rPr>
            <w:rStyle w:val="Hyperlink"/>
            <w:rFonts w:ascii="Times New Roman" w:hAnsi="Times New Roman"/>
            <w:b w:val="false"/>
            <w:i w:val="false"/>
            <w:color w:val="000000"/>
            <w:sz w:val="22"/>
          </w:rPr>
          <w:t>388.2A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acquisition contract.</w:t>
      </w:r>
    </w:p>
    <w:p>
      <w:pPr>
        <w:spacing w:before="0" w:after="0"/>
        <w:ind w:left="120"/>
        <w:jc w:val="both"/>
      </w:pP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Impact of acquisition. </w:t>
      </w:r>
      <w:r>
        <w:rPr>
          <w:rFonts w:ascii="Times New Roman" w:hAnsi="Times New Roman"/>
          <w:b w:val="false"/>
          <w:i w:val="false"/>
          <w:color w:val="000000"/>
          <w:sz w:val="22"/>
        </w:rPr>
        <w:t>An application shall include the following information related to the acquired system and its potential impact on the acquiring utility: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acquired system is not in compliance with applicable local, state, or federal standards, estimates of the approximate cost and time required to put the system in compliance with such standards.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anticipated capital investments and retirements for the acquired system, including estimated dollar amounts, for each of the first five years after the acquisition.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anticipated staffing changes due to the proposed acquisition.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proposed accounting to be utilized in any transfer of assets necessary to accomplish the acquisition.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anticipated effects of the acquisition, including a cost-benefit analysis which describes the projected benefits and costs of the acquisition, quantified in terms of present value and identifying the sources of such benefits and costs.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analysis of the projected financial impact of the acquisition on the ratepayers of each of the affected utilities for each of the first five years after the acquisition.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Historical and projected fixed expenses for the acquired system, including expense factors for fixed operation and maintenance costs.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Historical and projected variable expenses for the acquired system, including expected variable operation and maintenance costs.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estimated maximum, minimum, and expected cash inflows and outflows for the acquired system.</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financing components of the acquisition and an analysis of the impacts on the acquiring utility’s ability to attract capital on reasonable terms and to maintain a reasonable capital structure.</w:t>
      </w:r>
    </w:p>
    <w:p>
      <w:pPr>
        <w:spacing w:before="0" w:after="0"/>
        <w:ind w:left="120"/>
        <w:jc w:val="both"/>
      </w:pP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information to justify the use of such principles.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Cost of equity. </w:t>
      </w:r>
      <w:r>
        <w:rPr>
          <w:rFonts w:ascii="Times New Roman" w:hAnsi="Times New Roman"/>
          <w:b w:val="false"/>
          <w:i w:val="false"/>
          <w:color w:val="000000"/>
          <w:sz w:val="22"/>
        </w:rPr>
        <w:t>The utility shall file financial models demonstrating the proposed equity rate or range of equity rates necessary to attract equity capital for the proposed acquisition. The financial analysis shall include a risk assessment of the proposed acquisition, including a comparison with similar acquisitions.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Ratepayer allocations. </w:t>
      </w:r>
      <w:r>
        <w:rPr>
          <w:rFonts w:ascii="Times New Roman" w:hAnsi="Times New Roman"/>
          <w:b w:val="false"/>
          <w:i w:val="false"/>
          <w:color w:val="000000"/>
          <w:sz w:val="22"/>
        </w:rPr>
        <w:t>Proposals for allocating the cost of the acquired system and anticipated improvements to customers of the acquired system and the utility’s existing customers shall include information showing that the proposed allocation will result in rates that are just and reasonable for both groups of customers.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Initial depreciable value. </w:t>
      </w:r>
      <w:r>
        <w:rPr>
          <w:rFonts w:ascii="Times New Roman" w:hAnsi="Times New Roman"/>
          <w:b w:val="false"/>
          <w:i w:val="false"/>
          <w:color w:val="000000"/>
          <w:sz w:val="22"/>
        </w:rPr>
        <w:t xml:space="preserve">Proposals for establishing the value of the acquired system to be used as the initial gross asset balance for depreciation shall be supported by the lesser of the sale price or the fair market value of the system as determined consistent with Iowa Code section </w:t>
      </w:r>
      <w:hyperlink r:id="rId18">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utility shall also provide the accumulated depreciation balances for the assets.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rates which will be used to depreciate the acquired system shall be supported by a depreciation study or by depreciation rates applied in the utility’s last general rate case.</w:t>
      </w:r>
    </w:p>
    <w:p>
      <w:pPr>
        <w:spacing w:before="0" w:after="0"/>
        <w:ind w:left="120"/>
        <w:jc w:val="both"/>
      </w:pP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At-risk systems. </w:t>
      </w:r>
      <w:r>
        <w:rPr>
          <w:rFonts w:ascii="Times New Roman" w:hAnsi="Times New Roman"/>
          <w:b w:val="false"/>
          <w:i w:val="false"/>
          <w:color w:val="000000"/>
          <w:sz w:val="22"/>
        </w:rPr>
        <w:t xml:space="preserve">An application shall state whether the system to be acquired is an at-risk system, as defined by Iowa Code section </w:t>
      </w:r>
      <w:hyperlink r:id="rId19">
        <w:r>
          <w:rPr>
            <w:rStyle w:val="Hyperlink"/>
            <w:rFonts w:ascii="Times New Roman" w:hAnsi="Times New Roman"/>
            <w:b w:val="false"/>
            <w:i w:val="false"/>
            <w:color w:val="000000"/>
            <w:sz w:val="22"/>
          </w:rPr>
          <w:t>455B.199D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2020 Iowa Acts, House File 2452</w:t>
      </w:r>
      <w:r>
        <w:rPr>
          <w:rFonts w:ascii="Times New Roman" w:hAnsi="Times New Roman"/>
          <w:b w:val="false"/>
          <w:i w:val="false"/>
          <w:color w:val="000000"/>
          <w:sz w:val="22"/>
        </w:rPr>
        <w:t>. If the commission determines that an application to acquire an at-risk system does not contain sufficient information consistent with this rule to render a timely decision, the commission may reject the application without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199—41.6</w:t>
      </w:r>
      <w:r>
        <w:rPr>
          <w:rFonts w:ascii="Times New Roman" w:hAnsi="Times New Roman"/>
          <w:b/>
          <w:i w:val="false"/>
          <w:color w:val="000000"/>
          <w:sz w:val="22"/>
        </w:rPr>
        <w:t xml:space="preserve">(476)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utility may seek a waiver of any requirement of this chapter. The request for a waiver shall include the utility’s reasons for believing the requirement is not applicable or necessary. A request for a waiver shall also comply with rule </w:t>
      </w:r>
      <w:hyperlink r:id="rId20">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476.84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5206C</w:t>
      </w:r>
      <w:r>
        <w:rPr>
          <w:rFonts w:ascii="Times New Roman" w:hAnsi="Times New Roman"/>
          <w:b w:val="false"/>
          <w:i w:val="false"/>
          <w:color w:val="000000"/>
          <w:sz w:val="21"/>
        </w:rPr>
        <w:t xml:space="preserve"> (Notice ARC 4865C, IAB 1/15/20)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ac/rule/199.41.3.pdf" Type="http://schemas.openxmlformats.org/officeDocument/2006/relationships/hyperlink" Id="rId5"/>
    <Relationship TargetMode="External" Target="https://www.legis.iowa.gov/docs/iac/rule/199.41.5.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rule/199.41.5.pdf" Type="http://schemas.openxmlformats.org/officeDocument/2006/relationships/hyperlink" Id="rId8"/>
    <Relationship TargetMode="External" Target="https://www.legis.iowa.gov/docs/iac/chapter/199.24.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ac/chapter/199.7.pdf" Type="http://schemas.openxmlformats.org/officeDocument/2006/relationships/hyperlink" Id="rId11"/>
    <Relationship TargetMode="External" Target="https://www.legis.iowa.gov/docs/ico/chapter/388.pdf" Type="http://schemas.openxmlformats.org/officeDocument/2006/relationships/hyperlink" Id="rId12"/>
    <Relationship TargetMode="External" Target="https://www.legis.iowa.gov/docs/ico/chapter/388.pdf" Type="http://schemas.openxmlformats.org/officeDocument/2006/relationships/hyperlink" Id="rId13"/>
    <Relationship TargetMode="External" Target="https://www.legis.iowa.gov/docs/ico/chapter/388.pdf" Type="http://schemas.openxmlformats.org/officeDocument/2006/relationships/hyperlink" Id="rId14"/>
    <Relationship TargetMode="External" Target="https://www.legis.iowa.gov/docs/ico/chapter/388.pdf" Type="http://schemas.openxmlformats.org/officeDocument/2006/relationships/hyperlink" Id="rId15"/>
    <Relationship TargetMode="External" Target="https://www.legis.iowa.gov/docs/ico/chapter/388.pdf" Type="http://schemas.openxmlformats.org/officeDocument/2006/relationships/hyperlink" Id="rId16"/>
    <Relationship TargetMode="External" Target="https://www.legis.iowa.gov/docs/ico/chapter/388.pdf" Type="http://schemas.openxmlformats.org/officeDocument/2006/relationships/hyperlink" Id="rId17"/>
    <Relationship TargetMode="External" Target="https://www.legis.iowa.gov/docs/ico/chapter/388.pdf" Type="http://schemas.openxmlformats.org/officeDocument/2006/relationships/hyperlink" Id="rId18"/>
    <Relationship TargetMode="External" Target="https://www.legis.iowa.gov/docs/ico/chapter/455B.pdf" Type="http://schemas.openxmlformats.org/officeDocument/2006/relationships/hyperlink" Id="rId19"/>
    <Relationship TargetMode="External" Target="https://www.legis.iowa.gov/docs/iac/rule/199.1.3.pdf" Type="http://schemas.openxmlformats.org/officeDocument/2006/relationships/hyperlink" Id="rId20"/>
    <Relationship TargetMode="External" Target="https://www.legis.iowa.gov/docs/ico/chapter/476.pdf" Type="http://schemas.openxmlformats.org/officeDocument/2006/relationships/hyperlink" Id="rId21"/>
    <Relationship TargetMode="External" Target="https://www.legis.iowa.gov/docs/ico/chapter/476.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