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2.9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w:t>
      </w:r>
    </w:p>
    <w:p>
      <w:pPr>
        <w:spacing w:before="0" w:after="0"/>
        <w:ind w:left="120"/>
        <w:jc w:val="center"/>
      </w:pPr>
      <w:r>
        <w:rPr>
          <w:rFonts w:ascii="Times New Roman" w:hAnsi="Times New Roman"/>
          <w:b w:val="false"/>
          <w:i w:val="false"/>
          <w:color w:val="000000"/>
          <w:sz w:val="21"/>
        </w:rPr>
        <w:t>DECLARATORY ORDERS</w:t>
      </w:r>
    </w:p>
    <w:p>
      <w:pPr>
        <w:spacing w:before="0" w:after="0"/>
        <w:ind w:left="120"/>
        <w:jc w:val="center"/>
      </w:pPr>
      <w:r>
        <w:rPr>
          <w:rFonts w:ascii="Times New Roman" w:hAnsi="Times New Roman"/>
          <w:b w:val="false"/>
          <w:i w:val="false"/>
          <w:color w:val="000000"/>
          <w:sz w:val="14"/>
        </w:rPr>
        <w:t>[Prior to 10/8/86, see Commerce Commission[250]]</w:t>
      </w:r>
    </w:p>
    <w:p>
      <w:pPr>
        <w:spacing w:before="0" w:after="0"/>
        <w:ind w:left="120"/>
        <w:jc w:val="both"/>
      </w:pPr>
      <w:r>
        <w:rPr>
          <w:rFonts w:ascii="Times New Roman" w:hAnsi="Times New Roman"/>
          <w:b/>
          <w:i w:val="false"/>
          <w:color w:val="000000"/>
          <w:sz w:val="22"/>
        </w:rPr>
        <w:t>199—4.1</w:t>
      </w:r>
      <w:r>
        <w:rPr>
          <w:rFonts w:ascii="Times New Roman" w:hAnsi="Times New Roman"/>
          <w:b/>
          <w:i w:val="false"/>
          <w:color w:val="000000"/>
          <w:sz w:val="22"/>
        </w:rPr>
        <w:t xml:space="preserve">(17A) </w:t>
      </w:r>
      <w:r>
        <w:rPr>
          <w:rFonts w:ascii="Times New Roman" w:hAnsi="Times New Roman"/>
          <w:b/>
          <w:i w:val="false"/>
          <w:color w:val="000000"/>
          <w:sz w:val="22"/>
        </w:rPr>
        <w:t xml:space="preserve">Petition for declaratory order. </w:t>
      </w:r>
      <w:r>
        <w:rPr>
          <w:rFonts w:ascii="Times New Roman" w:hAnsi="Times New Roman"/>
          <w:b w:val="false"/>
          <w:i w:val="false"/>
          <w:color w:val="000000"/>
          <w:sz w:val="22"/>
        </w:rPr>
        <w:t xml:space="preserve">Any person may file a petition with the Iowa utilities commission for a declaratory order as to the applicability to specified circumstances of a statute, rule, or order within the primary jurisdiction of the commission. The petition shall conform with this chapter and with Iowa Code section </w:t>
      </w:r>
      <w:hyperlink r:id="rId4">
        <w:r>
          <w:rPr>
            <w:rStyle w:val="Hyperlink"/>
            <w:rFonts w:ascii="Times New Roman" w:hAnsi="Times New Roman"/>
            <w:b w:val="false"/>
            <w:i w:val="false"/>
            <w:color w:val="000000"/>
            <w:sz w:val="22"/>
          </w:rPr>
          <w:t>17A.9</w:t>
        </w:r>
      </w:hyperlink>
      <w:r>
        <w:rPr>
          <w:rFonts w:ascii="Times New Roman" w:hAnsi="Times New Roman"/>
          <w:b w:val="false"/>
          <w:i w:val="false"/>
          <w:color w:val="000000"/>
          <w:sz w:val="22"/>
        </w:rPr>
        <w:t xml:space="preserve">. A petition shall be dated and signed by the petitioner, include the petitioner’s appropriate contact information, and include all of the following information (a sample form of a petition for a declaratory order is available on the commission’s website at </w:t>
      </w:r>
      <w:hyperlink r:id="rId5">
        <w:r>
          <w:rPr>
            <w:rStyle w:val="Hyperlink"/>
            <w:rFonts w:ascii="Times New Roman" w:hAnsi="Times New Roman"/>
            <w:b w:val="false"/>
            <w:i w:val="false"/>
            <w:color w:val="000000"/>
            <w:sz w:val="22"/>
            <w:u w:val="single"/>
          </w:rPr>
          <w:t>iuc.iowa.gov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4.1(1)</w:t>
      </w:r>
      <w:r>
        <w:rPr>
          <w:rFonts w:ascii="Times New Roman" w:hAnsi="Times New Roman"/>
          <w:b w:val="false"/>
          <w:i w:val="false"/>
          <w:color w:val="000000"/>
          <w:sz w:val="22"/>
        </w:rPr>
        <w:t> </w:t>
      </w:r>
      <w:r>
        <w:rPr>
          <w:rFonts w:ascii="Times New Roman" w:hAnsi="Times New Roman"/>
          <w:b w:val="false"/>
          <w:i w:val="false"/>
          <w:color w:val="000000"/>
          <w:sz w:val="22"/>
        </w:rPr>
        <w:t>The question or questions that petitioner wishes the board to determine, stated clearly and concisely;</w:t>
      </w:r>
    </w:p>
    <w:p>
      <w:pPr>
        <w:spacing w:before="0" w:after="0"/>
        <w:ind w:left="120"/>
        <w:jc w:val="both"/>
      </w:pPr>
      <w:r>
        <w:rPr>
          <w:rFonts w:ascii="Times New Roman" w:hAnsi="Times New Roman"/>
          <w:b/>
          <w:i w:val="false"/>
          <w:color w:val="000000"/>
          <w:sz w:val="22"/>
        </w:rPr>
        <w:t>4.1(2)</w:t>
      </w:r>
      <w:r>
        <w:rPr>
          <w:rFonts w:ascii="Times New Roman" w:hAnsi="Times New Roman"/>
          <w:b w:val="false"/>
          <w:i w:val="false"/>
          <w:color w:val="000000"/>
          <w:sz w:val="22"/>
        </w:rPr>
        <w:t> </w:t>
      </w:r>
      <w:r>
        <w:rPr>
          <w:rFonts w:ascii="Times New Roman" w:hAnsi="Times New Roman"/>
          <w:b w:val="false"/>
          <w:i w:val="false"/>
          <w:color w:val="000000"/>
          <w:sz w:val="22"/>
        </w:rPr>
        <w:t>A clear and concise statement of all relevant facts on which the ruling is requested, including the petitioner’s interest in the issue;</w:t>
      </w:r>
    </w:p>
    <w:p>
      <w:pPr>
        <w:spacing w:before="0" w:after="0"/>
        <w:ind w:left="120"/>
        <w:jc w:val="both"/>
      </w:pPr>
      <w:r>
        <w:rPr>
          <w:rFonts w:ascii="Times New Roman" w:hAnsi="Times New Roman"/>
          <w:b/>
          <w:i w:val="false"/>
          <w:color w:val="000000"/>
          <w:sz w:val="22"/>
        </w:rPr>
        <w:t>4.1(3)</w:t>
      </w:r>
      <w:r>
        <w:rPr>
          <w:rFonts w:ascii="Times New Roman" w:hAnsi="Times New Roman"/>
          <w:b w:val="false"/>
          <w:i w:val="false"/>
          <w:color w:val="000000"/>
          <w:sz w:val="22"/>
        </w:rPr>
        <w:t> </w:t>
      </w:r>
      <w:r>
        <w:rPr>
          <w:rFonts w:ascii="Times New Roman" w:hAnsi="Times New Roman"/>
          <w:b w:val="false"/>
          <w:i w:val="false"/>
          <w:color w:val="000000"/>
          <w:sz w:val="22"/>
        </w:rPr>
        <w:t>A citation to and the relevant language of the statutes, rules, policies, decisions, or orders that are applicable or whose applicability is in question and any other relevant law;</w:t>
      </w:r>
    </w:p>
    <w:p>
      <w:pPr>
        <w:spacing w:before="0" w:after="0"/>
        <w:ind w:left="120"/>
        <w:jc w:val="both"/>
      </w:pPr>
      <w:r>
        <w:rPr>
          <w:rFonts w:ascii="Times New Roman" w:hAnsi="Times New Roman"/>
          <w:b/>
          <w:i w:val="false"/>
          <w:color w:val="000000"/>
          <w:sz w:val="22"/>
        </w:rPr>
        <w:t>4.1(4)</w:t>
      </w:r>
      <w:r>
        <w:rPr>
          <w:rFonts w:ascii="Times New Roman" w:hAnsi="Times New Roman"/>
          <w:b w:val="false"/>
          <w:i w:val="false"/>
          <w:color w:val="000000"/>
          <w:sz w:val="22"/>
        </w:rPr>
        <w:t> </w:t>
      </w:r>
      <w:r>
        <w:rPr>
          <w:rFonts w:ascii="Times New Roman" w:hAnsi="Times New Roman"/>
          <w:b w:val="false"/>
          <w:i w:val="false"/>
          <w:color w:val="000000"/>
          <w:sz w:val="22"/>
        </w:rPr>
        <w:t>The petitioner’s proposed answers to the questions raised and a summary of the reasons urged by the petitioner in support of those answers, including a statement of the legal support for the petitioner’s position;</w:t>
      </w:r>
    </w:p>
    <w:p>
      <w:pPr>
        <w:spacing w:before="0" w:after="0"/>
        <w:ind w:left="120"/>
        <w:jc w:val="both"/>
      </w:pPr>
      <w:r>
        <w:rPr>
          <w:rFonts w:ascii="Times New Roman" w:hAnsi="Times New Roman"/>
          <w:b/>
          <w:i w:val="false"/>
          <w:color w:val="000000"/>
          <w:sz w:val="22"/>
        </w:rPr>
        <w:t>4.1(5)</w:t>
      </w:r>
      <w:r>
        <w:rPr>
          <w:rFonts w:ascii="Times New Roman" w:hAnsi="Times New Roman"/>
          <w:b w:val="false"/>
          <w:i w:val="false"/>
          <w:color w:val="000000"/>
          <w:sz w:val="22"/>
        </w:rPr>
        <w:t> </w:t>
      </w:r>
      <w:r>
        <w:rPr>
          <w:rFonts w:ascii="Times New Roman" w:hAnsi="Times New Roman"/>
          <w:b w:val="false"/>
          <w:i w:val="false"/>
          <w:color w:val="000000"/>
          <w:sz w:val="22"/>
        </w:rPr>
        <w:t>A statement indicating whether the petitioner is currently a party to another proceeding involving the questions at issue and whether, to the petitioner’s knowledge, those questions have been decided by, are pending determination by, or are under investigation by any governmental entity;</w:t>
      </w:r>
    </w:p>
    <w:p>
      <w:pPr>
        <w:spacing w:before="0" w:after="0"/>
        <w:ind w:left="120"/>
        <w:jc w:val="both"/>
      </w:pPr>
      <w:r>
        <w:rPr>
          <w:rFonts w:ascii="Times New Roman" w:hAnsi="Times New Roman"/>
          <w:b/>
          <w:i w:val="false"/>
          <w:color w:val="000000"/>
          <w:sz w:val="22"/>
        </w:rPr>
        <w:t>4.1(6)</w:t>
      </w:r>
      <w:r>
        <w:rPr>
          <w:rFonts w:ascii="Times New Roman" w:hAnsi="Times New Roman"/>
          <w:b w:val="false"/>
          <w:i w:val="false"/>
          <w:color w:val="000000"/>
          <w:sz w:val="22"/>
        </w:rPr>
        <w:t> </w:t>
      </w:r>
      <w:r>
        <w:rPr>
          <w:rFonts w:ascii="Times New Roman" w:hAnsi="Times New Roman"/>
          <w:b w:val="false"/>
          <w:i w:val="false"/>
          <w:color w:val="000000"/>
          <w:sz w:val="22"/>
        </w:rPr>
        <w:t>The names and addresses of other persons, or a description of any class of persons, known by the petitioner to be affected by or interested in the questions presented in the petition; and</w:t>
      </w:r>
    </w:p>
    <w:p>
      <w:pPr>
        <w:spacing w:before="0" w:after="0"/>
        <w:ind w:left="120"/>
        <w:jc w:val="both"/>
      </w:pPr>
      <w:r>
        <w:rPr>
          <w:rFonts w:ascii="Times New Roman" w:hAnsi="Times New Roman"/>
          <w:b/>
          <w:i w:val="false"/>
          <w:color w:val="000000"/>
          <w:sz w:val="22"/>
        </w:rPr>
        <w:t>4.1(7)</w:t>
      </w:r>
      <w:r>
        <w:rPr>
          <w:rFonts w:ascii="Times New Roman" w:hAnsi="Times New Roman"/>
          <w:b w:val="false"/>
          <w:i w:val="false"/>
          <w:color w:val="000000"/>
          <w:sz w:val="22"/>
        </w:rPr>
        <w:t> </w:t>
      </w:r>
      <w:r>
        <w:rPr>
          <w:rFonts w:ascii="Times New Roman" w:hAnsi="Times New Roman"/>
          <w:b w:val="false"/>
          <w:i w:val="false"/>
          <w:color w:val="000000"/>
          <w:sz w:val="22"/>
        </w:rPr>
        <w:t xml:space="preserve">A statement indicating whether the petitioner requests a meeting as provided for by rule </w:t>
      </w:r>
      <w:hyperlink r:id="rId6">
        <w:r>
          <w:rPr>
            <w:rStyle w:val="Hyperlink"/>
            <w:rFonts w:ascii="Times New Roman" w:hAnsi="Times New Roman"/>
            <w:b w:val="false"/>
            <w:i w:val="false"/>
            <w:color w:val="000000"/>
            <w:sz w:val="22"/>
          </w:rPr>
          <w:t>199—4.5(17A)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7749C</w:t>
      </w:r>
      <w:r>
        <w:rPr>
          <w:rFonts w:ascii="Times New Roman" w:hAnsi="Times New Roman"/>
          <w:b w:val="false"/>
          <w:i w:val="false"/>
          <w:color w:val="000000"/>
          <w:sz w:val="16"/>
        </w:rPr>
        <w:t>, IAB 4/3/24, effective 5/8/24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199—4.2</w:t>
      </w:r>
      <w:r>
        <w:rPr>
          <w:rFonts w:ascii="Times New Roman" w:hAnsi="Times New Roman"/>
          <w:b/>
          <w:i w:val="false"/>
          <w:color w:val="000000"/>
          <w:sz w:val="22"/>
        </w:rPr>
        <w:t xml:space="preserve">(17A) </w:t>
      </w:r>
      <w:r>
        <w:rPr>
          <w:rFonts w:ascii="Times New Roman" w:hAnsi="Times New Roman"/>
          <w:b/>
          <w:i w:val="false"/>
          <w:color w:val="000000"/>
          <w:sz w:val="22"/>
        </w:rPr>
        <w:t xml:space="preserve">Intervention. </w:t>
      </w:r>
      <w:r>
        <w:rPr>
          <w:rFonts w:ascii="Times New Roman" w:hAnsi="Times New Roman"/>
          <w:b w:val="false"/>
          <w:i w:val="false"/>
          <w:color w:val="000000"/>
          <w:sz w:val="22"/>
        </w:rPr>
        <w:t xml:space="preserve">A person having an interest in the subject matter of a petition for a declaratory order may file with the commission a petition for intervention pursuant to the “Intervention” rule contained in </w:t>
      </w:r>
      <w:hyperlink r:id="rId7">
        <w:r>
          <w:rPr>
            <w:rStyle w:val="Hyperlink"/>
            <w:rFonts w:ascii="Times New Roman" w:hAnsi="Times New Roman"/>
            <w:b w:val="false"/>
            <w:i w:val="false"/>
            <w:color w:val="000000"/>
            <w:sz w:val="22"/>
          </w:rPr>
          <w:t>199—Chapter 7</w:t>
        </w:r>
      </w:hyperlink>
      <w:r>
        <w:rPr>
          <w:rFonts w:ascii="Times New Roman" w:hAnsi="Times New Roman"/>
          <w:b w:val="false"/>
          <w:i w:val="false"/>
          <w:color w:val="000000"/>
          <w:sz w:val="22"/>
        </w:rPr>
        <w:t xml:space="preserve"> within 20 days of the filing of a petition for a declaratory order. The commission may at its discretion entertain a late-filed petition for intervention. A petition for intervention in a proceeding on a petition for declaratory order shall be dated, be signed by the prospective intervenor with that person’s appropriate contact information, include the information set forth in the “Intervention” rule contained in </w:t>
      </w:r>
      <w:hyperlink r:id="rId8">
        <w:r>
          <w:rPr>
            <w:rStyle w:val="Hyperlink"/>
            <w:rFonts w:ascii="Times New Roman" w:hAnsi="Times New Roman"/>
            <w:b w:val="false"/>
            <w:i w:val="false"/>
            <w:color w:val="000000"/>
            <w:sz w:val="22"/>
          </w:rPr>
          <w:t>199—Chapter 7</w:t>
        </w:r>
      </w:hyperlink>
      <w:r>
        <w:rPr>
          <w:rFonts w:ascii="Times New Roman" w:hAnsi="Times New Roman"/>
          <w:b w:val="false"/>
          <w:i w:val="false"/>
          <w:color w:val="000000"/>
          <w:sz w:val="22"/>
        </w:rPr>
        <w:t>, and include all of the following:</w:t>
      </w:r>
    </w:p>
    <w:p>
      <w:pPr>
        <w:spacing w:before="0" w:after="0"/>
        <w:ind w:left="120"/>
        <w:jc w:val="both"/>
      </w:pPr>
      <w:r>
        <w:rPr>
          <w:rFonts w:ascii="Times New Roman" w:hAnsi="Times New Roman"/>
          <w:b/>
          <w:i w:val="false"/>
          <w:color w:val="000000"/>
          <w:sz w:val="22"/>
        </w:rPr>
        <w:t>4.2(1)</w:t>
      </w:r>
      <w:r>
        <w:rPr>
          <w:rFonts w:ascii="Times New Roman" w:hAnsi="Times New Roman"/>
          <w:b w:val="false"/>
          <w:i w:val="false"/>
          <w:color w:val="000000"/>
          <w:sz w:val="22"/>
        </w:rPr>
        <w:t> </w:t>
      </w:r>
      <w:r>
        <w:rPr>
          <w:rFonts w:ascii="Times New Roman" w:hAnsi="Times New Roman"/>
          <w:b w:val="false"/>
          <w:i w:val="false"/>
          <w:color w:val="000000"/>
          <w:sz w:val="22"/>
        </w:rPr>
        <w:t>The answers urged by the intervenor to the question or questions presented and a summary of the reasons urged in support of those answers, including a statement of the legal support for the intervenor’s position;</w:t>
      </w:r>
    </w:p>
    <w:p>
      <w:pPr>
        <w:spacing w:before="0" w:after="0"/>
        <w:ind w:left="120"/>
        <w:jc w:val="both"/>
      </w:pPr>
      <w:r>
        <w:rPr>
          <w:rFonts w:ascii="Times New Roman" w:hAnsi="Times New Roman"/>
          <w:b/>
          <w:i w:val="false"/>
          <w:color w:val="000000"/>
          <w:sz w:val="22"/>
        </w:rPr>
        <w:t>4.2(2)</w:t>
      </w:r>
      <w:r>
        <w:rPr>
          <w:rFonts w:ascii="Times New Roman" w:hAnsi="Times New Roman"/>
          <w:b w:val="false"/>
          <w:i w:val="false"/>
          <w:color w:val="000000"/>
          <w:sz w:val="22"/>
        </w:rPr>
        <w:t> </w:t>
      </w:r>
      <w:r>
        <w:rPr>
          <w:rFonts w:ascii="Times New Roman" w:hAnsi="Times New Roman"/>
          <w:b w:val="false"/>
          <w:i w:val="false"/>
          <w:color w:val="000000"/>
          <w:sz w:val="22"/>
        </w:rPr>
        <w:t>A statement indicating whether the intervenor is currently a party to another proceeding involving the questions at issue and whether, to the intervenor’s knowledge, those questions have been decided by, are pending determination by, or are under investigation by any government entity;</w:t>
      </w:r>
    </w:p>
    <w:p>
      <w:pPr>
        <w:spacing w:before="0" w:after="0"/>
        <w:ind w:left="120"/>
        <w:jc w:val="both"/>
      </w:pPr>
      <w:r>
        <w:rPr>
          <w:rFonts w:ascii="Times New Roman" w:hAnsi="Times New Roman"/>
          <w:b/>
          <w:i w:val="false"/>
          <w:color w:val="000000"/>
          <w:sz w:val="22"/>
        </w:rPr>
        <w:t>4.2(3)</w:t>
      </w:r>
      <w:r>
        <w:rPr>
          <w:rFonts w:ascii="Times New Roman" w:hAnsi="Times New Roman"/>
          <w:b w:val="false"/>
          <w:i w:val="false"/>
          <w:color w:val="000000"/>
          <w:sz w:val="22"/>
        </w:rPr>
        <w:t> </w:t>
      </w:r>
      <w:r>
        <w:rPr>
          <w:rFonts w:ascii="Times New Roman" w:hAnsi="Times New Roman"/>
          <w:b w:val="false"/>
          <w:i w:val="false"/>
          <w:color w:val="000000"/>
          <w:sz w:val="22"/>
        </w:rPr>
        <w:t>The names and addresses of other persons, or a description of any class of persons, known by the intervenor to be affected by or interested in the questions presented in the petition; and</w:t>
      </w:r>
    </w:p>
    <w:p>
      <w:pPr>
        <w:spacing w:before="0" w:after="0"/>
        <w:ind w:left="120"/>
        <w:jc w:val="both"/>
      </w:pPr>
      <w:r>
        <w:rPr>
          <w:rFonts w:ascii="Times New Roman" w:hAnsi="Times New Roman"/>
          <w:b/>
          <w:i w:val="false"/>
          <w:color w:val="000000"/>
          <w:sz w:val="22"/>
        </w:rPr>
        <w:t>4.2(4)</w:t>
      </w:r>
      <w:r>
        <w:rPr>
          <w:rFonts w:ascii="Times New Roman" w:hAnsi="Times New Roman"/>
          <w:b w:val="false"/>
          <w:i w:val="false"/>
          <w:color w:val="000000"/>
          <w:sz w:val="22"/>
        </w:rPr>
        <w:t> </w:t>
      </w:r>
      <w:r>
        <w:rPr>
          <w:rFonts w:ascii="Times New Roman" w:hAnsi="Times New Roman"/>
          <w:b w:val="false"/>
          <w:i w:val="false"/>
          <w:color w:val="000000"/>
          <w:sz w:val="22"/>
        </w:rPr>
        <w:t>Whether the intervenor consents to be bound by the determination of the matters presented in the declaratory order proceeding.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7749C</w:t>
      </w:r>
      <w:r>
        <w:rPr>
          <w:rFonts w:ascii="Times New Roman" w:hAnsi="Times New Roman"/>
          <w:b w:val="false"/>
          <w:i w:val="false"/>
          <w:color w:val="000000"/>
          <w:sz w:val="16"/>
        </w:rPr>
        <w:t>, IAB 4/3/24, effective 5/8/24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199—4.3</w:t>
      </w:r>
      <w:r>
        <w:rPr>
          <w:rFonts w:ascii="Times New Roman" w:hAnsi="Times New Roman"/>
          <w:b/>
          <w:i w:val="false"/>
          <w:color w:val="000000"/>
          <w:sz w:val="22"/>
        </w:rPr>
        <w:t xml:space="preserve">(17A) </w:t>
      </w:r>
      <w:r>
        <w:rPr>
          <w:rFonts w:ascii="Times New Roman" w:hAnsi="Times New Roman"/>
          <w:b/>
          <w:i w:val="false"/>
          <w:color w:val="000000"/>
          <w:sz w:val="22"/>
        </w:rPr>
        <w:t xml:space="preserve">Briefs. </w:t>
      </w:r>
      <w:r>
        <w:rPr>
          <w:rFonts w:ascii="Times New Roman" w:hAnsi="Times New Roman"/>
          <w:b w:val="false"/>
          <w:i w:val="false"/>
          <w:color w:val="000000"/>
          <w:sz w:val="22"/>
        </w:rPr>
        <w:t>The petitioner or any intervenor may file a brief in support of that party’s position, and the commission may order additional briefing.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7749C</w:t>
      </w:r>
      <w:r>
        <w:rPr>
          <w:rFonts w:ascii="Times New Roman" w:hAnsi="Times New Roman"/>
          <w:b w:val="false"/>
          <w:i w:val="false"/>
          <w:color w:val="000000"/>
          <w:sz w:val="16"/>
        </w:rPr>
        <w:t>, IAB 4/3/24, effective 5/8/24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199—4.4</w:t>
      </w:r>
      <w:r>
        <w:rPr>
          <w:rFonts w:ascii="Times New Roman" w:hAnsi="Times New Roman"/>
          <w:b/>
          <w:i w:val="false"/>
          <w:color w:val="000000"/>
          <w:sz w:val="22"/>
        </w:rPr>
        <w:t xml:space="preserve">(17A) </w:t>
      </w:r>
      <w:r>
        <w:rPr>
          <w:rFonts w:ascii="Times New Roman" w:hAnsi="Times New Roman"/>
          <w:b/>
          <w:i w:val="false"/>
          <w:color w:val="000000"/>
          <w:sz w:val="22"/>
        </w:rPr>
        <w:t xml:space="preserve">Service and filing of petitions. </w:t>
      </w:r>
      <w:r>
        <w:rPr>
          <w:rFonts w:ascii="Times New Roman" w:hAnsi="Times New Roman"/>
          <w:b w:val="false"/>
          <w:i w:val="false"/>
          <w:color w:val="000000"/>
          <w:sz w:val="22"/>
        </w:rPr>
        <w:t xml:space="preserve">At the same time a petition for a declaratory order is filed, the petitioner shall serve the petition, in accordance with the “Service of documents” subrule in </w:t>
      </w:r>
      <w:hyperlink r:id="rId9">
        <w:r>
          <w:rPr>
            <w:rStyle w:val="Hyperlink"/>
            <w:rFonts w:ascii="Times New Roman" w:hAnsi="Times New Roman"/>
            <w:b w:val="false"/>
            <w:i w:val="false"/>
            <w:color w:val="000000"/>
            <w:sz w:val="22"/>
          </w:rPr>
          <w:t>199—Chapter 7</w:t>
        </w:r>
      </w:hyperlink>
      <w:r>
        <w:rPr>
          <w:rFonts w:ascii="Times New Roman" w:hAnsi="Times New Roman"/>
          <w:b w:val="false"/>
          <w:i w:val="false"/>
          <w:color w:val="000000"/>
          <w:sz w:val="22"/>
        </w:rPr>
        <w:t xml:space="preserve"> and the “Electronic service” rule in </w:t>
      </w:r>
      <w:hyperlink r:id="rId10">
        <w:r>
          <w:rPr>
            <w:rStyle w:val="Hyperlink"/>
            <w:rFonts w:ascii="Times New Roman" w:hAnsi="Times New Roman"/>
            <w:b w:val="false"/>
            <w:i w:val="false"/>
            <w:color w:val="000000"/>
            <w:sz w:val="22"/>
          </w:rPr>
          <w:t>199—Chapter 14</w:t>
        </w:r>
      </w:hyperlink>
      <w:r>
        <w:rPr>
          <w:rFonts w:ascii="Times New Roman" w:hAnsi="Times New Roman"/>
          <w:b w:val="false"/>
          <w:i w:val="false"/>
          <w:color w:val="000000"/>
          <w:sz w:val="22"/>
        </w:rPr>
        <w:t>, upon any person who, based upon a reasonable investigation, would be a necessary party to the proceeding under applicable substantive law. The petitioner is to file with the commission a list of all persons served.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7749C</w:t>
      </w:r>
      <w:r>
        <w:rPr>
          <w:rFonts w:ascii="Times New Roman" w:hAnsi="Times New Roman"/>
          <w:b w:val="false"/>
          <w:i w:val="false"/>
          <w:color w:val="000000"/>
          <w:sz w:val="16"/>
        </w:rPr>
        <w:t>, IAB 4/3/24, effective 5/8/24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199—4.5</w:t>
      </w:r>
      <w:r>
        <w:rPr>
          <w:rFonts w:ascii="Times New Roman" w:hAnsi="Times New Roman"/>
          <w:b/>
          <w:i w:val="false"/>
          <w:color w:val="000000"/>
          <w:sz w:val="22"/>
        </w:rPr>
        <w:t xml:space="preserve">(17A) </w:t>
      </w:r>
      <w:r>
        <w:rPr>
          <w:rFonts w:ascii="Times New Roman" w:hAnsi="Times New Roman"/>
          <w:b/>
          <w:i w:val="false"/>
          <w:color w:val="000000"/>
          <w:sz w:val="22"/>
        </w:rPr>
        <w:t xml:space="preserve">Informal meeting. </w:t>
      </w:r>
      <w:r>
        <w:rPr>
          <w:rFonts w:ascii="Times New Roman" w:hAnsi="Times New Roman"/>
          <w:b w:val="false"/>
          <w:i w:val="false"/>
          <w:color w:val="000000"/>
          <w:sz w:val="22"/>
        </w:rPr>
        <w:t>Upon request by petitioner, the commission will schedule an informal meeting between the petitioner, all intervenors, and the commission, a member of the commission, or a designated member of the staff of the commission to discuss the questions identified in the petition. The commission may solicit comments from any person on the questions raised.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7749C</w:t>
      </w:r>
      <w:r>
        <w:rPr>
          <w:rFonts w:ascii="Times New Roman" w:hAnsi="Times New Roman"/>
          <w:b w:val="false"/>
          <w:i w:val="false"/>
          <w:color w:val="000000"/>
          <w:sz w:val="16"/>
        </w:rPr>
        <w:t>, IAB 4/3/24, effective 5/8/24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199—4.6</w:t>
      </w:r>
      <w:r>
        <w:rPr>
          <w:rFonts w:ascii="Times New Roman" w:hAnsi="Times New Roman"/>
          <w:b/>
          <w:i w:val="false"/>
          <w:color w:val="000000"/>
          <w:sz w:val="22"/>
        </w:rPr>
        <w:t xml:space="preserve">(17A) </w:t>
      </w:r>
      <w:r>
        <w:rPr>
          <w:rFonts w:ascii="Times New Roman" w:hAnsi="Times New Roman"/>
          <w:b/>
          <w:i w:val="false"/>
          <w:color w:val="000000"/>
          <w:sz w:val="22"/>
        </w:rPr>
        <w:t xml:space="preserve">Refusal to issue order. </w:t>
      </w:r>
    </w:p>
    <w:p>
      <w:pPr>
        <w:spacing w:before="0" w:after="0"/>
        <w:ind w:left="120"/>
        <w:jc w:val="both"/>
      </w:pPr>
      <w:r>
        <w:rPr>
          <w:rFonts w:ascii="Times New Roman" w:hAnsi="Times New Roman"/>
          <w:b/>
          <w:i w:val="false"/>
          <w:color w:val="000000"/>
          <w:sz w:val="22"/>
        </w:rPr>
        <w:t>4.6(1)</w:t>
      </w:r>
      <w:r>
        <w:rPr>
          <w:rFonts w:ascii="Times New Roman" w:hAnsi="Times New Roman"/>
          <w:b w:val="false"/>
          <w:i w:val="false"/>
          <w:color w:val="000000"/>
          <w:sz w:val="22"/>
        </w:rPr>
        <w:t> </w:t>
      </w:r>
      <w:r>
        <w:rPr>
          <w:rFonts w:ascii="Times New Roman" w:hAnsi="Times New Roman"/>
          <w:b w:val="false"/>
          <w:i/>
          <w:color w:val="000000"/>
          <w:sz w:val="22"/>
        </w:rPr>
        <w:t xml:space="preserve">Grounds. </w:t>
      </w:r>
      <w:r>
        <w:rPr>
          <w:rFonts w:ascii="Times New Roman" w:hAnsi="Times New Roman"/>
          <w:b w:val="false"/>
          <w:i w:val="false"/>
          <w:color w:val="000000"/>
          <w:sz w:val="22"/>
        </w:rPr>
        <w:t>The commission will not issue a declaratory order that would substantially prejudice the rights of a person who would be a necessary party and who does not consent in writing to determination of the matter in a declaratory order proceeding. The commission may refuse to issue a declaratory order on some or all of the questions raised for any of the following reasons:</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petitioner requests that the commission determines whether a statute is unconstitutional on its face.</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petition does not contain facts sufficient to demonstrate that the petitioner will be aggrieved or adversely affected by the failure of the commission to issue an order.</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commission does not have jurisdiction over the questions presented in the petition.</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questions presented by the petition are also presented in a current rulemaking, contested case, or other agency or judicial proceeding that may definitively resolve them.</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questions presented by the petition would more properly be resolved in a different type of proceeding or by another body with jurisdiction over the matter.</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facts or questions presented in the petition are unclear, overbroad, insufficient, or otherwise inappropriate as a basis upon which to issue an order.</w:t>
      </w:r>
    </w:p>
    <w:p>
      <w:pPr>
        <w:spacing w:before="0" w:after="0"/>
        <w:ind w:left="120"/>
        <w:jc w:val="left"/>
      </w:pPr>
      <w:r>
        <w:rPr>
          <w:rFonts w:ascii="Times New Roman" w:hAnsi="Times New Roman"/>
          <w:b w:val="false"/>
          <w:i/>
          <w:color w:val="000000"/>
          <w:sz w:val="22"/>
        </w:rPr>
        <w:t>g.</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There is no need to issue an order because the questions raised in the petition have been settled due to a change in circumstances.</w:t>
      </w:r>
    </w:p>
    <w:p>
      <w:pPr>
        <w:spacing w:before="0" w:after="0"/>
        <w:ind w:left="120"/>
        <w:jc w:val="left"/>
      </w:pPr>
      <w:r>
        <w:rPr>
          <w:rFonts w:ascii="Times New Roman" w:hAnsi="Times New Roman"/>
          <w:b w:val="false"/>
          <w:i/>
          <w:color w:val="000000"/>
          <w:sz w:val="22"/>
        </w:rPr>
        <w:t>h.</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petition is not based upon facts calculated to aid in the planning of future conduct but is, instead, based solely upon prior conduct in an effort to establish the effect of that conduct or to challenge an agency decision already made.</w:t>
      </w:r>
    </w:p>
    <w:p>
      <w:pPr>
        <w:spacing w:before="0" w:after="0"/>
        <w:ind w:left="120"/>
        <w:jc w:val="left"/>
      </w:pPr>
      <w:r>
        <w:rPr>
          <w:rFonts w:ascii="Times New Roman" w:hAnsi="Times New Roman"/>
          <w:b w:val="false"/>
          <w:i/>
          <w:color w:val="000000"/>
          <w:sz w:val="22"/>
        </w:rPr>
        <w:t>i.</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petition requests a declaratory order that would necessarily determine the legal rights, duties, or responsibilities of other persons who have not joined in the petition, intervened separately, or filed a similar petition and whose position on the questions presented may fairly be presumed to be adverse to that of the petitioner.</w:t>
      </w:r>
    </w:p>
    <w:p>
      <w:pPr>
        <w:spacing w:before="0" w:after="0"/>
        <w:ind w:left="120"/>
        <w:jc w:val="both"/>
      </w:pPr>
      <w:r>
        <w:rPr>
          <w:rFonts w:ascii="Times New Roman" w:hAnsi="Times New Roman"/>
          <w:b/>
          <w:i w:val="false"/>
          <w:color w:val="000000"/>
          <w:sz w:val="22"/>
        </w:rPr>
        <w:t>4.6(2)</w:t>
      </w:r>
      <w:r>
        <w:rPr>
          <w:rFonts w:ascii="Times New Roman" w:hAnsi="Times New Roman"/>
          <w:b w:val="false"/>
          <w:i w:val="false"/>
          <w:color w:val="000000"/>
          <w:sz w:val="22"/>
        </w:rPr>
        <w:t> </w:t>
      </w:r>
      <w:r>
        <w:rPr>
          <w:rFonts w:ascii="Times New Roman" w:hAnsi="Times New Roman"/>
          <w:b w:val="false"/>
          <w:i/>
          <w:color w:val="000000"/>
          <w:sz w:val="22"/>
        </w:rPr>
        <w:t xml:space="preserve">Content and effect of refusal.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commission’s refusal to issue a declaratory order will include a statement of the specific grounds for the refusal and constitutes final commission action on the petition.</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Refusal to issue a declaratory order pursuant to this rule does not preclude the filing of a new petition that seeks to remedy the grounds for the refusal to issue an order.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7749C</w:t>
      </w:r>
      <w:r>
        <w:rPr>
          <w:rFonts w:ascii="Times New Roman" w:hAnsi="Times New Roman"/>
          <w:b w:val="false"/>
          <w:i w:val="false"/>
          <w:color w:val="000000"/>
          <w:sz w:val="16"/>
        </w:rPr>
        <w:t>, IAB 4/3/24, effective 5/8/24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199—4.7</w:t>
      </w:r>
      <w:r>
        <w:rPr>
          <w:rFonts w:ascii="Times New Roman" w:hAnsi="Times New Roman"/>
          <w:b/>
          <w:i w:val="false"/>
          <w:color w:val="000000"/>
          <w:sz w:val="22"/>
        </w:rPr>
        <w:t xml:space="preserve">(17A) </w:t>
      </w:r>
      <w:r>
        <w:rPr>
          <w:rFonts w:ascii="Times New Roman" w:hAnsi="Times New Roman"/>
          <w:b/>
          <w:i w:val="false"/>
          <w:color w:val="000000"/>
          <w:sz w:val="22"/>
        </w:rPr>
        <w:t xml:space="preserve">Effect of a declaratory order. </w:t>
      </w:r>
    </w:p>
    <w:p>
      <w:pPr>
        <w:spacing w:before="0" w:after="0"/>
        <w:ind w:left="120"/>
        <w:jc w:val="both"/>
      </w:pPr>
      <w:r>
        <w:rPr>
          <w:rFonts w:ascii="Times New Roman" w:hAnsi="Times New Roman"/>
          <w:b/>
          <w:i w:val="false"/>
          <w:color w:val="000000"/>
          <w:sz w:val="22"/>
        </w:rPr>
        <w:t>4.7(1)</w:t>
      </w:r>
      <w:r>
        <w:rPr>
          <w:rFonts w:ascii="Times New Roman" w:hAnsi="Times New Roman"/>
          <w:b w:val="false"/>
          <w:i w:val="false"/>
          <w:color w:val="000000"/>
          <w:sz w:val="22"/>
        </w:rPr>
        <w:t> </w:t>
      </w:r>
      <w:r>
        <w:rPr>
          <w:rFonts w:ascii="Times New Roman" w:hAnsi="Times New Roman"/>
          <w:b w:val="false"/>
          <w:i w:val="false"/>
          <w:color w:val="000000"/>
          <w:sz w:val="22"/>
        </w:rPr>
        <w:t xml:space="preserve">The issuance of a declaratory order constitutes final agency action on the petition. A declaratory order is binding on the commission, on the petitioner, on any intervenors who consent to be bound, and on any persons who would be necessary parties, who are served pursuant to rule </w:t>
      </w:r>
      <w:hyperlink r:id="rId11">
        <w:r>
          <w:rPr>
            <w:rStyle w:val="Hyperlink"/>
            <w:rFonts w:ascii="Times New Roman" w:hAnsi="Times New Roman"/>
            <w:b w:val="false"/>
            <w:i w:val="false"/>
            <w:color w:val="000000"/>
            <w:sz w:val="22"/>
          </w:rPr>
          <w:t>199—4.4(17A)</w:t>
        </w:r>
      </w:hyperlink>
      <w:r>
        <w:rPr>
          <w:rFonts w:ascii="Times New Roman" w:hAnsi="Times New Roman"/>
          <w:b w:val="false"/>
          <w:i w:val="false"/>
          <w:color w:val="000000"/>
          <w:sz w:val="22"/>
        </w:rPr>
        <w:t>, and who consent to be bound, in cases in which the relevant facts and the law involved are substantially indistinguishable from those on which the order was based. As to all other persons, a declaratory order serves only as precedent and is not binding on the commission.</w:t>
      </w:r>
    </w:p>
    <w:p>
      <w:pPr>
        <w:spacing w:before="0" w:after="0"/>
        <w:ind w:left="120"/>
        <w:jc w:val="both"/>
      </w:pPr>
      <w:r>
        <w:rPr>
          <w:rFonts w:ascii="Times New Roman" w:hAnsi="Times New Roman"/>
          <w:b/>
          <w:i w:val="false"/>
          <w:color w:val="000000"/>
          <w:sz w:val="22"/>
        </w:rPr>
        <w:t>4.7(2)</w:t>
      </w:r>
      <w:r>
        <w:rPr>
          <w:rFonts w:ascii="Times New Roman" w:hAnsi="Times New Roman"/>
          <w:b w:val="false"/>
          <w:i w:val="false"/>
          <w:color w:val="000000"/>
          <w:sz w:val="22"/>
        </w:rPr>
        <w:t> </w:t>
      </w:r>
      <w:r>
        <w:rPr>
          <w:rFonts w:ascii="Times New Roman" w:hAnsi="Times New Roman"/>
          <w:b w:val="false"/>
          <w:i w:val="false"/>
          <w:color w:val="000000"/>
          <w:sz w:val="22"/>
        </w:rPr>
        <w:t>A declaratory order is effective upon the date of issuance.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7749C</w:t>
      </w:r>
      <w:r>
        <w:rPr>
          <w:rFonts w:ascii="Times New Roman" w:hAnsi="Times New Roman"/>
          <w:b w:val="false"/>
          <w:i w:val="false"/>
          <w:color w:val="000000"/>
          <w:sz w:val="16"/>
        </w:rPr>
        <w:t>, IAB 4/3/24, effective 5/8/24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12">
        <w:r>
          <w:rPr>
            <w:rStyle w:val="Hyperlink"/>
            <w:rFonts w:ascii="Times New Roman" w:hAnsi="Times New Roman"/>
            <w:b w:val="false"/>
            <w:i w:val="false"/>
            <w:color w:val="000000"/>
            <w:sz w:val="22"/>
          </w:rPr>
          <w:t>17A.3(1)</w:t>
        </w:r>
      </w:hyperlink>
      <w:r>
        <w:rPr>
          <w:rFonts w:ascii="Times New Roman" w:hAnsi="Times New Roman"/>
          <w:b w:val="false"/>
          <w:i/>
          <w:color w:val="000000"/>
          <w:sz w:val="22"/>
        </w:rPr>
        <w:t>“b,”</w:t>
      </w:r>
      <w:hyperlink r:id="rId13">
        <w:r>
          <w:rPr>
            <w:rStyle w:val="Hyperlink"/>
            <w:rFonts w:ascii="Times New Roman" w:hAnsi="Times New Roman"/>
            <w:b w:val="false"/>
            <w:i w:val="false"/>
            <w:color w:val="000000"/>
            <w:sz w:val="22"/>
          </w:rPr>
          <w:t>17A.9</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476.2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2/11/76, Notice 7/14/75—published 2/23/76, effective 3/29/76]</w:t>
      </w:r>
    </w:p>
    <w:p>
      <w:pPr>
        <w:spacing w:before="0" w:after="0"/>
        <w:ind w:left="120"/>
        <w:jc w:val="center"/>
      </w:pPr>
      <w:r>
        <w:rPr>
          <w:rFonts w:ascii="Times New Roman" w:hAnsi="Times New Roman"/>
          <w:b w:val="false"/>
          <w:i w:val="false"/>
          <w:color w:val="000000"/>
          <w:sz w:val="21"/>
        </w:rPr>
        <w:t>[Filed 11/16/84, Notice 9/12/84—published 12/5/84, effective 1/16/85]</w:t>
      </w:r>
    </w:p>
    <w:p>
      <w:pPr>
        <w:spacing w:before="0" w:after="0"/>
        <w:ind w:left="120"/>
        <w:jc w:val="center"/>
      </w:pPr>
      <w:r>
        <w:rPr>
          <w:rFonts w:ascii="Times New Roman" w:hAnsi="Times New Roman"/>
          <w:b w:val="false"/>
          <w:i w:val="false"/>
          <w:color w:val="000000"/>
          <w:sz w:val="21"/>
        </w:rPr>
        <w:t>[Filed emergency 9/18/86—published 10/8/86, effective 9/18/86]</w:t>
      </w:r>
    </w:p>
    <w:p>
      <w:pPr>
        <w:spacing w:before="0" w:after="0"/>
        <w:ind w:left="120"/>
        <w:jc w:val="center"/>
      </w:pPr>
      <w:r>
        <w:rPr>
          <w:rFonts w:ascii="Times New Roman" w:hAnsi="Times New Roman"/>
          <w:b w:val="false"/>
          <w:i w:val="false"/>
          <w:color w:val="000000"/>
          <w:sz w:val="21"/>
        </w:rPr>
        <w:t>[Filed 3/3/89, Notice 8/24/88—published 3/22/89, effective 4/26/89]</w:t>
      </w:r>
    </w:p>
    <w:p>
      <w:pPr>
        <w:spacing w:before="0" w:after="0"/>
        <w:ind w:left="120"/>
        <w:jc w:val="center"/>
      </w:pPr>
      <w:r>
        <w:rPr>
          <w:rFonts w:ascii="Times New Roman" w:hAnsi="Times New Roman"/>
          <w:b w:val="false"/>
          <w:i w:val="false"/>
          <w:color w:val="000000"/>
          <w:sz w:val="21"/>
        </w:rPr>
        <w:t>[Published 6/17/98 to update name and address of board]</w:t>
      </w:r>
    </w:p>
    <w:p>
      <w:pPr>
        <w:spacing w:before="0" w:after="0"/>
        <w:ind w:left="120"/>
        <w:jc w:val="center"/>
      </w:pPr>
      <w:r>
        <w:rPr>
          <w:rFonts w:ascii="Times New Roman" w:hAnsi="Times New Roman"/>
          <w:b w:val="false"/>
          <w:i w:val="false"/>
          <w:color w:val="000000"/>
          <w:sz w:val="21"/>
        </w:rPr>
        <w:t>[Filed 9/3/99, Notice 5/19/99—published 9/22/99, effective 10/27/99]</w:t>
      </w:r>
    </w:p>
    <w:p>
      <w:pPr>
        <w:spacing w:before="0" w:after="0"/>
        <w:ind w:left="120"/>
        <w:jc w:val="center"/>
      </w:pPr>
      <w:r>
        <w:rPr>
          <w:rFonts w:ascii="Times New Roman" w:hAnsi="Times New Roman"/>
          <w:b w:val="false"/>
          <w:i w:val="false"/>
          <w:color w:val="000000"/>
          <w:sz w:val="21"/>
        </w:rPr>
        <w:t>[Editorial change: IAC Supplement 12/29/10]</w:t>
      </w:r>
    </w:p>
    <w:p>
      <w:pPr>
        <w:spacing w:before="0" w:after="0"/>
        <w:ind w:left="120"/>
        <w:jc w:val="center"/>
      </w:pPr>
      <w:r>
        <w:rPr>
          <w:rFonts w:ascii="Times New Roman" w:hAnsi="Times New Roman"/>
          <w:b w:val="false"/>
          <w:i w:val="false"/>
          <w:color w:val="000000"/>
          <w:sz w:val="21"/>
        </w:rPr>
        <w:t>[Filed ARC 3645C</w:t>
      </w:r>
      <w:r>
        <w:rPr>
          <w:rFonts w:ascii="Times New Roman" w:hAnsi="Times New Roman"/>
          <w:b w:val="false"/>
          <w:i w:val="false"/>
          <w:color w:val="000000"/>
          <w:sz w:val="21"/>
        </w:rPr>
        <w:t xml:space="preserve"> (Notice ARC 3418C, IAB 10/25/17)</w:t>
      </w:r>
      <w:r>
        <w:rPr>
          <w:rFonts w:ascii="Times New Roman" w:hAnsi="Times New Roman"/>
          <w:b w:val="false"/>
          <w:i w:val="false"/>
          <w:color w:val="000000"/>
          <w:sz w:val="21"/>
        </w:rPr>
        <w:t>, IAB 2/14/18, effective 3/21/18]</w:t>
      </w:r>
    </w:p>
    <w:p>
      <w:pPr>
        <w:spacing w:before="0" w:after="0"/>
        <w:ind w:left="120"/>
        <w:jc w:val="center"/>
      </w:pPr>
      <w:r>
        <w:rPr>
          <w:rFonts w:ascii="Times New Roman" w:hAnsi="Times New Roman"/>
          <w:b w:val="false"/>
          <w:i w:val="false"/>
          <w:color w:val="000000"/>
          <w:sz w:val="21"/>
        </w:rPr>
        <w:t>[Filed ARC 7749C</w:t>
      </w:r>
      <w:r>
        <w:rPr>
          <w:rFonts w:ascii="Times New Roman" w:hAnsi="Times New Roman"/>
          <w:b w:val="false"/>
          <w:i w:val="false"/>
          <w:color w:val="000000"/>
          <w:sz w:val="21"/>
        </w:rPr>
        <w:t xml:space="preserve"> (Notice ARC 7578C, IAB 2/7/24)</w:t>
      </w:r>
      <w:r>
        <w:rPr>
          <w:rFonts w:ascii="Times New Roman" w:hAnsi="Times New Roman"/>
          <w:b w:val="false"/>
          <w:i w:val="false"/>
          <w:color w:val="000000"/>
          <w:sz w:val="21"/>
        </w:rPr>
        <w:t>, IAB 4/3/24, effective 5/8/24]</w:t>
      </w:r>
    </w:p>
    <w:p>
      <w:pPr>
        <w:spacing w:before="0" w:after="0"/>
        <w:ind w:left="120"/>
        <w:jc w:val="center"/>
      </w:pPr>
      <w:r>
        <w:rPr>
          <w:rFonts w:ascii="Times New Roman" w:hAnsi="Times New Roman"/>
          <w:b w:val="false"/>
          <w:i w:val="false"/>
          <w:color w:val="000000"/>
          <w:sz w:val="21"/>
        </w:rPr>
        <w:t>[Editorial change: IAC Supplement 7/24/24]</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pdf" Type="http://schemas.openxmlformats.org/officeDocument/2006/relationships/hyperlink" Id="rId4"/>
    <Relationship TargetMode="External" Target="http://iuc.iowa.gov" Type="http://schemas.openxmlformats.org/officeDocument/2006/relationships/hyperlink" Id="rId5"/>
    <Relationship TargetMode="External" Target="https://www.legis.iowa.gov/docs/iac/rule/199.4.5.pdf" Type="http://schemas.openxmlformats.org/officeDocument/2006/relationships/hyperlink" Id="rId6"/>
    <Relationship TargetMode="External" Target="https://www.legis.iowa.gov/docs/iac/chapter/199.7.pdf" Type="http://schemas.openxmlformats.org/officeDocument/2006/relationships/hyperlink" Id="rId7"/>
    <Relationship TargetMode="External" Target="https://www.legis.iowa.gov/docs/iac/chapter/199.7.pdf" Type="http://schemas.openxmlformats.org/officeDocument/2006/relationships/hyperlink" Id="rId8"/>
    <Relationship TargetMode="External" Target="https://www.legis.iowa.gov/docs/iac/chapter/199.7.pdf" Type="http://schemas.openxmlformats.org/officeDocument/2006/relationships/hyperlink" Id="rId9"/>
    <Relationship TargetMode="External" Target="https://www.legis.iowa.gov/docs/iac/chapter/199.14.pdf" Type="http://schemas.openxmlformats.org/officeDocument/2006/relationships/hyperlink" Id="rId10"/>
    <Relationship TargetMode="External" Target="https://www.legis.iowa.gov/docs/iac/rule/199.4.4.pdf" Type="http://schemas.openxmlformats.org/officeDocument/2006/relationships/hyperlink" Id="rId11"/>
    <Relationship TargetMode="External" Target="https://www.legis.iowa.gov/docs/ico/chapter/17A.pdf" Type="http://schemas.openxmlformats.org/officeDocument/2006/relationships/hyperlink" Id="rId12"/>
    <Relationship TargetMode="External" Target="https://www.legis.iowa.gov/docs/ico/chapter/17A.pdf" Type="http://schemas.openxmlformats.org/officeDocument/2006/relationships/hyperlink" Id="rId13"/>
    <Relationship TargetMode="External" Target="https://www.legis.iowa.gov/docs/ico/chapter/476.pdf" Type="http://schemas.openxmlformats.org/officeDocument/2006/relationships/hyperlink" Id="rId1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