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 xml:space="preserve">ACCESS TO AFFILIATE RECORDS, REQUIREMENTS FOR ANNUAL FILINGS, </w:t>
      </w:r>
      <w:r>
        <w:br/>
      </w:r>
      <w:r>
        <w:rPr>
          <w:rFonts w:ascii="Times New Roman" w:hAnsi="Times New Roman"/>
          <w:b w:val="false"/>
          <w:i w:val="false"/>
          <w:color w:val="000000"/>
          <w:sz w:val="21"/>
        </w:rPr>
        <w:t>AND SERVICE AND ASSET TRANSFER COSTING STANDARDS</w:t>
      </w:r>
    </w:p>
    <w:p>
      <w:pPr>
        <w:spacing w:before="0" w:after="0"/>
        <w:ind w:left="120"/>
        <w:jc w:val="both"/>
      </w:pPr>
      <w:r>
        <w:rPr>
          <w:rFonts w:ascii="Times New Roman" w:hAnsi="Times New Roman"/>
          <w:b/>
          <w:i w:val="false"/>
          <w:color w:val="000000"/>
          <w:sz w:val="22"/>
        </w:rPr>
        <w:t>199—31.1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definition of terms. </w:t>
      </w:r>
      <w:r>
        <w:rPr>
          <w:rFonts w:ascii="Times New Roman" w:hAnsi="Times New Roman"/>
          <w:b w:val="false"/>
          <w:i w:val="false"/>
          <w:color w:val="000000"/>
          <w:sz w:val="22"/>
        </w:rPr>
        <w:t xml:space="preserve">This chapter applies to all rate-regulated gas, electric, water, sanitary sewage, or storm water drainage service public utilities. All terms used in this chapter are defined in Iowa Code section </w:t>
      </w:r>
      <w:hyperlink r:id="rId4">
        <w:r>
          <w:rPr>
            <w:rStyle w:val="Hyperlink"/>
            <w:rFonts w:ascii="Times New Roman" w:hAnsi="Times New Roman"/>
            <w:b w:val="false"/>
            <w:i w:val="false"/>
            <w:color w:val="000000"/>
            <w:sz w:val="22"/>
          </w:rPr>
          <w:t>476.72</w:t>
        </w:r>
      </w:hyperlink>
      <w:r>
        <w:rPr>
          <w:rFonts w:ascii="Times New Roman" w:hAnsi="Times New Roman"/>
          <w:b w:val="false"/>
          <w:i w:val="false"/>
          <w:color w:val="000000"/>
          <w:sz w:val="22"/>
        </w:rPr>
        <w:t xml:space="preserve"> unless further defined in this chapter.</w:t>
      </w:r>
    </w:p>
    <w:p>
      <w:pPr>
        <w:spacing w:before="0" w:after="0"/>
        <w:ind w:left="120"/>
        <w:jc w:val="both"/>
      </w:pPr>
      <w:r>
        <w:rPr>
          <w:rFonts w:ascii="Times New Roman" w:hAnsi="Times New Roman"/>
          <w:b w:val="false"/>
          <w:i/>
          <w:color w:val="000000"/>
          <w:sz w:val="22"/>
        </w:rPr>
        <w:t xml:space="preserve">“Fully distributed cost” </w:t>
      </w:r>
      <w:r>
        <w:rPr>
          <w:rFonts w:ascii="Times New Roman" w:hAnsi="Times New Roman"/>
          <w:b w:val="false"/>
          <w:i w:val="false"/>
          <w:color w:val="000000"/>
          <w:sz w:val="22"/>
        </w:rPr>
        <w:t>means a costing approach that fully allocates all current and embedded costs to determine the revenue contribution of regulated and nonregulated affiliate operations.</w:t>
      </w:r>
    </w:p>
    <w:p>
      <w:pPr>
        <w:spacing w:before="0" w:after="0"/>
        <w:ind w:left="120"/>
        <w:jc w:val="both"/>
      </w:pPr>
      <w:r>
        <w:rPr>
          <w:rFonts w:ascii="Times New Roman" w:hAnsi="Times New Roman"/>
          <w:b w:val="false"/>
          <w:i/>
          <w:color w:val="000000"/>
          <w:sz w:val="22"/>
        </w:rPr>
        <w:t xml:space="preserve">“Net book value” </w:t>
      </w:r>
      <w:r>
        <w:rPr>
          <w:rFonts w:ascii="Times New Roman" w:hAnsi="Times New Roman"/>
          <w:b w:val="false"/>
          <w:i w:val="false"/>
          <w:color w:val="000000"/>
          <w:sz w:val="22"/>
        </w:rPr>
        <w:t>means the original purchase price minus depreciation.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199—31.2</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Separate records. </w:t>
      </w:r>
      <w:r>
        <w:rPr>
          <w:rFonts w:ascii="Times New Roman" w:hAnsi="Times New Roman"/>
          <w:b w:val="false"/>
          <w:i w:val="false"/>
          <w:color w:val="000000"/>
          <w:sz w:val="22"/>
        </w:rPr>
        <w:t>All affiliates of a public utility shall maintain records that are separate from the records of the public utility.</w:t>
      </w:r>
    </w:p>
    <w:p>
      <w:pPr>
        <w:spacing w:before="0" w:after="0"/>
        <w:ind w:left="120"/>
        <w:jc w:val="both"/>
      </w:pP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Records to be maintained. </w:t>
      </w:r>
      <w:r>
        <w:rPr>
          <w:rFonts w:ascii="Times New Roman" w:hAnsi="Times New Roman"/>
          <w:b w:val="false"/>
          <w:i w:val="false"/>
          <w:color w:val="000000"/>
          <w:sz w:val="22"/>
        </w:rPr>
        <w:t>The records maintained by each affiliate and made available for inspection through the public utility shall include but are not limited to ledgers; balance sheets; income statements, both consolidated and consolidating; documents depicting accounts payable and vouchers; purchase orders; time sheets; journal entries; source and supporting documents for all transactions; supporting documents and models for all forecasts of affiliates used by the public utility; all contracts, including summaries of unwritten contracts or agreements; a description of methods used to allocate revenues, expenses, and investments among affiliates or jurisdictions, including supporting detail; and copies of all filings required by other state and federal agencies.</w:t>
      </w:r>
    </w:p>
    <w:p>
      <w:pPr>
        <w:spacing w:before="0" w:after="0"/>
        <w:ind w:left="120"/>
        <w:jc w:val="both"/>
      </w:pP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Method of inspection. </w:t>
      </w:r>
      <w:r>
        <w:rPr>
          <w:rFonts w:ascii="Times New Roman" w:hAnsi="Times New Roman"/>
          <w:b w:val="false"/>
          <w:i w:val="false"/>
          <w:color w:val="000000"/>
          <w:sz w:val="22"/>
        </w:rPr>
        <w:t>The records of each affiliate are to be made available to the commission. Upon receipt of a formal request in writing from the commission for information, the public utility shall produce the requested information within seven days. Upon a showing of good cause, the commission may approve additional time for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199—31.3</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filing. </w:t>
      </w:r>
    </w:p>
    <w:p>
      <w:pPr>
        <w:spacing w:before="0" w:after="0"/>
        <w:ind w:left="120"/>
        <w:jc w:val="both"/>
      </w:pP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On or before June 30 of each year, all public utilities shall file with the commission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executive summary of each contract, arrangement, or other similar transaction between the public utility and an affiliate. The executive summary shall include the start and end date of the contract, the providing affiliate, the receiving affiliate, the total estimated dollar value, the dollar amount reported for the calendar year, and a description of the service or goods covered.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Verified copies of contracts, arrangements, or other similar transactions between the public utility and an affiliate are to be provided to the commission upon request. This includes all contracts, arrangements, or other similar transactions as required by Iowa Code sections </w:t>
      </w:r>
      <w:hyperlink r:id="rId5">
        <w:r>
          <w:rPr>
            <w:rStyle w:val="Hyperlink"/>
            <w:rFonts w:ascii="Times New Roman" w:hAnsi="Times New Roman"/>
            <w:b w:val="false"/>
            <w:i w:val="false"/>
            <w:color w:val="000000"/>
            <w:sz w:val="22"/>
          </w:rPr>
          <w:t>476.74(1) through 476.74(4)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Contracts, arrangements, or other similar transactions with an affiliate where the consideration is not in excess of $250,000 or 5 percent of the capital equity of the utility, whichever is smaller, are exempt from this filing requirement. In lieu of the filing requirement, the public utility shall file on or before June 30 of each year a report of the total amount of each contract, arrangement, or other similar transactions with affiliates qualifying under this exemption. Each affiliate is to be identified separately.</w:t>
      </w:r>
    </w:p>
    <w:p>
      <w:pPr>
        <w:spacing w:before="0" w:after="0"/>
        <w:ind w:left="120"/>
        <w:jc w:val="both"/>
      </w:pP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After an initial filing under this rule, only new contracts, arrangements, or other similar transactions and modifications or amendments to existing contracts, arrangements, or other similar transactions need to be reported on an annual basis. If there have been no new contracts, arrangements, or other similar transactions, the public utility may file a statement to that effect.</w:t>
      </w:r>
    </w:p>
    <w:p>
      <w:pPr>
        <w:spacing w:before="0" w:after="0"/>
        <w:ind w:left="120"/>
        <w:jc w:val="both"/>
      </w:pP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new affiliate is created, if an existing affiliate is dissolved or merged, if a contractual arrangement or other similar transactional relationship between the public utility and an affiliate is created, or if a contractual arrangement or other similar transactional relationship is terminated between the public utility and an affiliate, the public utility shall notify the commission in writing within 60 days of the date of the event. This subrule does not apply if a proposal for reorganization pursuant to </w:t>
      </w:r>
      <w:hyperlink r:id="rId6">
        <w:r>
          <w:rPr>
            <w:rStyle w:val="Hyperlink"/>
            <w:rFonts w:ascii="Times New Roman" w:hAnsi="Times New Roman"/>
            <w:b w:val="false"/>
            <w:i w:val="false"/>
            <w:color w:val="000000"/>
            <w:sz w:val="22"/>
          </w:rPr>
          <w:t>199—Chapter 32</w:t>
        </w:r>
      </w:hyperlink>
      <w:r>
        <w:rPr>
          <w:rFonts w:ascii="Times New Roman" w:hAnsi="Times New Roman"/>
          <w:b w:val="false"/>
          <w:i w:val="false"/>
          <w:color w:val="000000"/>
          <w:sz w:val="22"/>
        </w:rPr>
        <w:t xml:space="preserve"> is to be filed with the commission or the affiliate does not conduct business with the public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199—31.4</w:t>
      </w:r>
      <w:r>
        <w:rPr>
          <w:rFonts w:ascii="Times New Roman" w:hAnsi="Times New Roman"/>
          <w:b/>
          <w:i w:val="false"/>
          <w:color w:val="000000"/>
          <w:sz w:val="22"/>
        </w:rPr>
        <w:t xml:space="preserve">(476) </w:t>
      </w:r>
      <w:r>
        <w:rPr>
          <w:rFonts w:ascii="Times New Roman" w:hAnsi="Times New Roman"/>
          <w:b/>
          <w:i w:val="false"/>
          <w:color w:val="000000"/>
          <w:sz w:val="22"/>
        </w:rPr>
        <w:t xml:space="preserve">Verified copies. </w:t>
      </w:r>
      <w:r>
        <w:rPr>
          <w:rFonts w:ascii="Times New Roman" w:hAnsi="Times New Roman"/>
          <w:b w:val="false"/>
          <w:i w:val="false"/>
          <w:color w:val="000000"/>
          <w:sz w:val="22"/>
        </w:rPr>
        <w:t>For purposes of this chapter, a copy is verified if it is accompanied by an affidavit signed by a corporate officer with personal knowledge of the veracity of the copy. Only one affidavit signed by a corporate officer with personal knowledge of the veracity of the copy needs to be included in an individual filing in order to verify all contracts, arrangements, or other similar transactions included in the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199—31.5</w:t>
      </w:r>
      <w:r>
        <w:rPr>
          <w:rFonts w:ascii="Times New Roman" w:hAnsi="Times New Roman"/>
          <w:b/>
          <w:i w:val="false"/>
          <w:color w:val="000000"/>
          <w:sz w:val="22"/>
        </w:rPr>
        <w:t xml:space="preserve">(476) </w:t>
      </w:r>
      <w:r>
        <w:rPr>
          <w:rFonts w:ascii="Times New Roman" w:hAnsi="Times New Roman"/>
          <w:b/>
          <w:i w:val="false"/>
          <w:color w:val="000000"/>
          <w:sz w:val="22"/>
        </w:rPr>
        <w:t xml:space="preserve">Comparable information. </w:t>
      </w:r>
      <w:r>
        <w:rPr>
          <w:rFonts w:ascii="Times New Roman" w:hAnsi="Times New Roman"/>
          <w:b w:val="false"/>
          <w:i w:val="false"/>
          <w:color w:val="000000"/>
          <w:sz w:val="22"/>
        </w:rPr>
        <w:t xml:space="preserve">For the purpose of satisfying the filing requirements of this chapter, the public utility may request approval to file alternative but comparable information that the public utility files with other state or federal regulatory agencies. If the proposal is approved by the commission, the public utility may file the information as a partial substitute for, or in lieu of, the information stipulated in rule </w:t>
      </w:r>
      <w:hyperlink r:id="rId7">
        <w:r>
          <w:rPr>
            <w:rStyle w:val="Hyperlink"/>
            <w:rFonts w:ascii="Times New Roman" w:hAnsi="Times New Roman"/>
            <w:b w:val="false"/>
            <w:i w:val="false"/>
            <w:color w:val="000000"/>
            <w:sz w:val="22"/>
          </w:rPr>
          <w:t>199—31.3</w:t>
        </w:r>
      </w:hyperlink>
      <w:r>
        <w:rPr>
          <w:rFonts w:ascii="Times New Roman" w:hAnsi="Times New Roman"/>
          <w:b w:val="false"/>
          <w:i w:val="false"/>
          <w:color w:val="000000"/>
          <w:sz w:val="22"/>
        </w:rPr>
        <w:t xml:space="preserve">(476) and the commission may provide that the public utility continue to file the approved alternative information in future filings. The public utility shall file the same information, whether it is the alternative information filed with other agencies or the information stipulated in rule </w:t>
      </w:r>
      <w:hyperlink r:id="rId8">
        <w:r>
          <w:rPr>
            <w:rStyle w:val="Hyperlink"/>
            <w:rFonts w:ascii="Times New Roman" w:hAnsi="Times New Roman"/>
            <w:b w:val="false"/>
            <w:i w:val="false"/>
            <w:color w:val="000000"/>
            <w:sz w:val="22"/>
          </w:rPr>
          <w:t>199—31.3</w:t>
        </w:r>
      </w:hyperlink>
      <w:r>
        <w:rPr>
          <w:rFonts w:ascii="Times New Roman" w:hAnsi="Times New Roman"/>
          <w:b w:val="false"/>
          <w:i w:val="false"/>
          <w:color w:val="000000"/>
          <w:sz w:val="22"/>
        </w:rPr>
        <w:t>(476), for at least five consecutive years. Proposals to file alternative information may be filed by the public utility on or before December 1 of the year preceding the year for which approval is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199—31.6</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services between regulated operations and nonregulated affiliates. </w:t>
      </w:r>
    </w:p>
    <w:p>
      <w:pPr>
        <w:spacing w:before="0" w:after="0"/>
        <w:ind w:left="120"/>
        <w:jc w:val="both"/>
      </w:pP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Nonregulated affiliate provides service to a regulated affiliate. </w:t>
      </w:r>
      <w:r>
        <w:rPr>
          <w:rFonts w:ascii="Times New Roman" w:hAnsi="Times New Roman"/>
          <w:b w:val="false"/>
          <w:i w:val="false"/>
          <w:color w:val="000000"/>
          <w:sz w:val="22"/>
        </w:rPr>
        <w:t>The service shall be priced to the regulated affiliate’s operations at the price charged to nonaffiliates. If no such price is available, the service shall be priced at the lower of fully distributed cost, the lowest price actually charged to other affiliates, or a market price of comparable services. If a market price of comparable services is not reasonably determinable, the service may be priced at the lower of fully distributed cost or the lowest price actually charged to other affiliates. Under no circumstances is the service to be priced to a regulated affiliate’s operations at a higher cost than what the regulated affiliate actually paid the unregulated affiliate for the service.</w:t>
      </w:r>
    </w:p>
    <w:p>
      <w:pPr>
        <w:spacing w:before="0" w:after="0"/>
        <w:ind w:left="120"/>
        <w:jc w:val="both"/>
      </w:pP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by the utility to a nonregulated affiliate. </w:t>
      </w:r>
      <w:r>
        <w:rPr>
          <w:rFonts w:ascii="Times New Roman" w:hAnsi="Times New Roman"/>
          <w:b w:val="false"/>
          <w:i w:val="false"/>
          <w:color w:val="000000"/>
          <w:sz w:val="22"/>
        </w:rPr>
        <w:t>Utility service shall be provided at the tariffed price. If it is not a tariffed service, the service is to be recorded at fully distributed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asset transfers between regulated operations and nonregulated affiliates valued at less than $2 million. </w:t>
      </w:r>
    </w:p>
    <w:p>
      <w:pPr>
        <w:spacing w:before="0" w:after="0"/>
        <w:ind w:left="120"/>
        <w:jc w:val="both"/>
      </w:pP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Asset of a nonregulated affiliate transferred to a regulated affiliate. </w:t>
      </w:r>
      <w:r>
        <w:rPr>
          <w:rFonts w:ascii="Times New Roman" w:hAnsi="Times New Roman"/>
          <w:b w:val="false"/>
          <w:i w:val="false"/>
          <w:color w:val="000000"/>
          <w:sz w:val="22"/>
        </w:rPr>
        <w:t>The asset transfer shall be recorded at the lesser of net book value, the price actually charged to affiliates or nonaffiliates, or the market price of comparable assets. Under no circumstances is the asset to be recorded at a cost higher than what the regulated affiliate actually paid for the asset.</w:t>
      </w:r>
    </w:p>
    <w:p>
      <w:pPr>
        <w:spacing w:before="0" w:after="0"/>
        <w:ind w:left="120"/>
        <w:jc w:val="both"/>
      </w:pP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Asset of a regulated affiliate transferred to a nonregulated affiliate. </w:t>
      </w:r>
      <w:r>
        <w:rPr>
          <w:rFonts w:ascii="Times New Roman" w:hAnsi="Times New Roman"/>
          <w:b w:val="false"/>
          <w:i w:val="false"/>
          <w:color w:val="000000"/>
          <w:sz w:val="22"/>
        </w:rPr>
        <w:t>The asset transfer to the nonregulated affiliate shall be recorded at the greater of net book value, a price actually charged to other affiliates or nonaffiliates, or the market price of comparable assets.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476.73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476.74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1/4/91, Notice 8/8/90—published 1/23/91, effective 2/27/91]</w:t>
      </w:r>
    </w:p>
    <w:p>
      <w:pPr>
        <w:spacing w:before="0" w:after="0"/>
        <w:ind w:left="120"/>
        <w:jc w:val="center"/>
      </w:pPr>
      <w:r>
        <w:rPr>
          <w:rFonts w:ascii="Times New Roman" w:hAnsi="Times New Roman"/>
          <w:b w:val="false"/>
          <w:i w:val="false"/>
          <w:color w:val="000000"/>
          <w:sz w:val="21"/>
        </w:rPr>
        <w:t>[Filed 8/10/95, Notice 2/1/95—published 8/30/95, effective 10/4/95]</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ARC 3063C</w:t>
      </w:r>
      <w:r>
        <w:rPr>
          <w:rFonts w:ascii="Times New Roman" w:hAnsi="Times New Roman"/>
          <w:b w:val="false"/>
          <w:i w:val="false"/>
          <w:color w:val="000000"/>
          <w:sz w:val="21"/>
        </w:rPr>
        <w:t xml:space="preserve"> (Notice ARC 2955C, IAB 3/1/17)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6761C</w:t>
      </w:r>
      <w:r>
        <w:rPr>
          <w:rFonts w:ascii="Times New Roman" w:hAnsi="Times New Roman"/>
          <w:b w:val="false"/>
          <w:i w:val="false"/>
          <w:color w:val="000000"/>
          <w:sz w:val="21"/>
        </w:rPr>
        <w:t xml:space="preserve"> (Notice ARC 6339C, IAB 6/1/22)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8009C</w:t>
      </w:r>
      <w:r>
        <w:rPr>
          <w:rFonts w:ascii="Times New Roman" w:hAnsi="Times New Roman"/>
          <w:b w:val="false"/>
          <w:i w:val="false"/>
          <w:color w:val="000000"/>
          <w:sz w:val="21"/>
        </w:rPr>
        <w:t xml:space="preserve"> (Notice ARC 7581C, IAB 2/7/24)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chapter/199.32.pdf" Type="http://schemas.openxmlformats.org/officeDocument/2006/relationships/hyperlink" Id="rId6"/>
    <Relationship TargetMode="External" Target="https://www.legis.iowa.gov/docs/iac/rule/199.31.3.pdf" Type="http://schemas.openxmlformats.org/officeDocument/2006/relationships/hyperlink" Id="rId7"/>
    <Relationship TargetMode="External" Target="https://www.legis.iowa.gov/docs/iac/rule/199.31.3.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