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RULEMAKING</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199—3.1</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These rules govern the practice and procedure in all rulemaking proceedings of the commission.</w:t>
      </w:r>
    </w:p>
    <w:p>
      <w:pPr>
        <w:spacing w:before="0" w:after="0"/>
        <w:ind w:left="120"/>
        <w:jc w:val="both"/>
      </w:pP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r>
        <w:rPr>
          <w:rFonts w:ascii="Times New Roman" w:hAnsi="Times New Roman"/>
          <w:b w:val="false"/>
          <w:i w:val="false"/>
          <w:color w:val="000000"/>
          <w:sz w:val="22"/>
        </w:rPr>
        <w:t>If any provision of a rule or the application of a rule to any person or circumstance is itself or through its enabling statute held invalid, the invalidity does not affect other provisions or applications of the rule that can be given effect without the invalid provision or application, and to this end, the provisions of the rule are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199—3.2</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Initial stakeholder input. </w:t>
      </w:r>
      <w:r>
        <w:rPr>
          <w:rFonts w:ascii="Times New Roman" w:hAnsi="Times New Roman"/>
          <w:b w:val="false"/>
          <w:i w:val="false"/>
          <w:color w:val="000000"/>
          <w:sz w:val="22"/>
        </w:rPr>
        <w:t>In addition to seeking information by other methods, the commission may solicit comments from the public on the subject matter of possible rulemaking by issuing an order through its electronic filing system or by causing notice of the subject matter to be published in the Iowa Administrative Bulletin, indicating where, when, and how persons may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Petition for adoption of rules. </w:t>
      </w:r>
    </w:p>
    <w:p>
      <w:pPr>
        <w:spacing w:before="0" w:after="0"/>
        <w:ind w:left="120"/>
        <w:jc w:val="both"/>
      </w:pP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Petitions. </w:t>
      </w:r>
      <w:r>
        <w:rPr>
          <w:rFonts w:ascii="Times New Roman" w:hAnsi="Times New Roman"/>
          <w:b w:val="false"/>
          <w:i w:val="false"/>
          <w:color w:val="000000"/>
          <w:sz w:val="22"/>
        </w:rPr>
        <w:t xml:space="preserve">Any interested person may petition the commission for the adoption, amendment, or repeal of a rule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Stakeholder comments. </w:t>
      </w:r>
      <w:r>
        <w:rPr>
          <w:rFonts w:ascii="Times New Roman" w:hAnsi="Times New Roman"/>
          <w:b w:val="false"/>
          <w:i w:val="false"/>
          <w:color w:val="000000"/>
          <w:sz w:val="22"/>
        </w:rPr>
        <w:t>Other interested persons may file written comments containing data, views, or arguments concerning the petition within 20 days of the filing of the petition. Reply comments may be filed within 27 days of the filing of the petition. The commission may allow additional time for filing comments and reply comments at its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199—3.4</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Commencement of proceedings. </w:t>
      </w:r>
      <w:r>
        <w:rPr>
          <w:rFonts w:ascii="Times New Roman" w:hAnsi="Times New Roman"/>
          <w:b w:val="false"/>
          <w:i w:val="false"/>
          <w:color w:val="000000"/>
          <w:sz w:val="22"/>
        </w:rPr>
        <w:t>Rulemaking proceedings are commenced upon written order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Rulemaking oral presentation. </w:t>
      </w:r>
    </w:p>
    <w:p>
      <w:pPr>
        <w:spacing w:before="0" w:after="0"/>
        <w:ind w:left="120"/>
        <w:jc w:val="both"/>
      </w:pP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If an oral presentation is not scheduled by the commission, any interested person may file a request for an oral presentation.</w:t>
      </w:r>
    </w:p>
    <w:p>
      <w:pPr>
        <w:spacing w:before="0" w:after="0"/>
        <w:ind w:left="120"/>
        <w:jc w:val="both"/>
      </w:pP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Written appearance. </w:t>
      </w:r>
      <w:r>
        <w:rPr>
          <w:rFonts w:ascii="Times New Roman" w:hAnsi="Times New Roman"/>
          <w:b w:val="false"/>
          <w:i w:val="false"/>
          <w:color w:val="000000"/>
          <w:sz w:val="22"/>
        </w:rPr>
        <w:t>Any interested person may participate in rulemaking oral presentations in person or by counsel.</w:t>
      </w:r>
    </w:p>
    <w:p>
      <w:pPr>
        <w:spacing w:before="0" w:after="0"/>
        <w:ind w:left="120"/>
        <w:jc w:val="both"/>
      </w:pP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Oral presentations. </w:t>
      </w:r>
      <w:r>
        <w:rPr>
          <w:rFonts w:ascii="Times New Roman" w:hAnsi="Times New Roman"/>
          <w:b w:val="false"/>
          <w:i w:val="false"/>
          <w:color w:val="000000"/>
          <w:sz w:val="22"/>
        </w:rPr>
        <w:t>Participants in rulemaking oral presentations may submit exhibits and present oral statements of position, which may include data, views, comments, or arguments concerning the proposed adoption, amendment, or repeal of the rule. Oral statements are not made under oath and are not subject to cross-examination.</w:t>
      </w:r>
    </w:p>
    <w:p>
      <w:pPr>
        <w:spacing w:before="0" w:after="0"/>
        <w:ind w:left="120"/>
        <w:jc w:val="both"/>
      </w:pP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Comments and limitations. </w:t>
      </w:r>
      <w:r>
        <w:rPr>
          <w:rFonts w:ascii="Times New Roman" w:hAnsi="Times New Roman"/>
          <w:b w:val="false"/>
          <w:i w:val="false"/>
          <w:color w:val="000000"/>
          <w:sz w:val="22"/>
        </w:rPr>
        <w:t>The commission may, in its discretion, permit reply comments and request the filing of written comments subsequent to the adjournment of the oral presentation. The commission may limit the time of any oral presentation and the length of any written 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199—3.6</w:t>
      </w:r>
      <w:r>
        <w:rPr>
          <w:rFonts w:ascii="Times New Roman" w:hAnsi="Times New Roman"/>
          <w:b/>
          <w:i w:val="false"/>
          <w:color w:val="000000"/>
          <w:sz w:val="22"/>
        </w:rPr>
        <w:t xml:space="preserve">(17A,474) </w:t>
      </w:r>
      <w:r>
        <w:rPr>
          <w:rFonts w:ascii="Times New Roman" w:hAnsi="Times New Roman"/>
          <w:b/>
          <w:i w:val="false"/>
          <w:color w:val="000000"/>
          <w:sz w:val="22"/>
        </w:rPr>
        <w:t xml:space="preserve">Review of rules. </w:t>
      </w:r>
      <w:r>
        <w:rPr>
          <w:rFonts w:ascii="Times New Roman" w:hAnsi="Times New Roman"/>
          <w:b w:val="false"/>
          <w:i w:val="false"/>
          <w:color w:val="000000"/>
          <w:sz w:val="22"/>
        </w:rPr>
        <w:t xml:space="preserve">To facilitate the five-year review provisions of Iowa Code section </w:t>
      </w:r>
      <w:hyperlink r:id="rId5">
        <w:r>
          <w:rPr>
            <w:rStyle w:val="Hyperlink"/>
            <w:rFonts w:ascii="Times New Roman" w:hAnsi="Times New Roman"/>
            <w:b w:val="false"/>
            <w:i w:val="false"/>
            <w:color w:val="000000"/>
            <w:sz w:val="22"/>
          </w:rPr>
          <w:t>17A.7(1)</w:t>
        </w:r>
      </w:hyperlink>
      <w:r>
        <w:rPr>
          <w:rFonts w:ascii="Times New Roman" w:hAnsi="Times New Roman"/>
          <w:b w:val="false"/>
          <w:i w:val="false"/>
          <w:color w:val="000000"/>
          <w:sz w:val="22"/>
        </w:rPr>
        <w:t>, the commission will review a portion of its chapters each fiscal year over each five-year period under the following schedule:</w:t>
      </w:r>
    </w:p>
    <w:p>
      <w:pPr>
        <w:spacing w:before="0" w:after="0"/>
        <w:ind w:left="120"/>
        <w:jc w:val="both"/>
      </w:pP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2018 and every fifth year thereafter, the commission will review </w:t>
      </w:r>
      <w:hyperlink r:id="rId6">
        <w:r>
          <w:rPr>
            <w:rStyle w:val="Hyperlink"/>
            <w:rFonts w:ascii="Times New Roman" w:hAnsi="Times New Roman"/>
            <w:b w:val="false"/>
            <w:i w:val="false"/>
            <w:color w:val="000000"/>
            <w:sz w:val="22"/>
          </w:rPr>
          <w:t>Chapters 1 through 9</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2019 and every fifth year thereafter, the commission will review </w:t>
      </w:r>
      <w:hyperlink r:id="rId7">
        <w:r>
          <w:rPr>
            <w:rStyle w:val="Hyperlink"/>
            <w:rFonts w:ascii="Times New Roman" w:hAnsi="Times New Roman"/>
            <w:b w:val="false"/>
            <w:i w:val="false"/>
            <w:color w:val="000000"/>
            <w:sz w:val="22"/>
          </w:rPr>
          <w:t>Chapters 10 through 18</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2020 and every fifth year thereafter, the commission will review </w:t>
      </w:r>
      <w:hyperlink r:id="rId8">
        <w:r>
          <w:rPr>
            <w:rStyle w:val="Hyperlink"/>
            <w:rFonts w:ascii="Times New Roman" w:hAnsi="Times New Roman"/>
            <w:b w:val="false"/>
            <w:i w:val="false"/>
            <w:color w:val="000000"/>
            <w:sz w:val="22"/>
          </w:rPr>
          <w:t>Chapters 19 through 27</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2021 and every fifth year thereafter, the commission will review </w:t>
      </w:r>
      <w:hyperlink r:id="rId9">
        <w:r>
          <w:rPr>
            <w:rStyle w:val="Hyperlink"/>
            <w:rFonts w:ascii="Times New Roman" w:hAnsi="Times New Roman"/>
            <w:b w:val="false"/>
            <w:i w:val="false"/>
            <w:color w:val="000000"/>
            <w:sz w:val="22"/>
          </w:rPr>
          <w:t>Chapters 28 through 36</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val="false"/>
          <w:color w:val="000000"/>
          <w:sz w:val="22"/>
        </w:rPr>
        <w:t xml:space="preserve">In fiscal year 2022 and every fifth year thereafter, the commission will review </w:t>
      </w:r>
      <w:hyperlink r:id="rId10">
        <w:r>
          <w:rPr>
            <w:rStyle w:val="Hyperlink"/>
            <w:rFonts w:ascii="Times New Roman" w:hAnsi="Times New Roman"/>
            <w:b w:val="false"/>
            <w:i w:val="false"/>
            <w:color w:val="000000"/>
            <w:sz w:val="22"/>
          </w:rPr>
          <w:t>Chapters 37 through 45</w:t>
        </w:r>
      </w:hyperlink>
      <w:r>
        <w:rPr>
          <w:rFonts w:ascii="Times New Roman" w:hAnsi="Times New Roman"/>
          <w:b w:val="false"/>
          <w:i w:val="false"/>
          <w:color w:val="000000"/>
          <w:sz w:val="22"/>
        </w:rPr>
        <w:t xml:space="preserve"> of its rules.</w:t>
      </w:r>
    </w:p>
    <w:p>
      <w:pPr>
        <w:spacing w:before="0" w:after="0"/>
        <w:ind w:left="120"/>
        <w:jc w:val="both"/>
      </w:pP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val="false"/>
          <w:color w:val="000000"/>
          <w:sz w:val="22"/>
        </w:rPr>
        <w:t>If the commission adopts additional chapters in its rules, such chapters will be reviewed every fifth fiscal year from the fiscal year in which they are made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7748C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17A.4 through 17A.7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2/11/76, Notice 7/14/75—published 2/23/76, effective 3/29/76]</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10/7/83, Notice 8/3/83—published 10/26/83, effective 11/30/83]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7/12/85, Notice 6/5/85—published 7/31/85, effective 9/4/85]</w:t>
      </w:r>
    </w:p>
    <w:p>
      <w:pPr>
        <w:spacing w:before="0" w:after="0"/>
        <w:ind w:left="120"/>
        <w:jc w:val="center"/>
      </w:pPr>
      <w:r>
        <w:rPr>
          <w:rFonts w:ascii="Times New Roman" w:hAnsi="Times New Roman"/>
          <w:b w:val="false"/>
          <w:i w:val="false"/>
          <w:color w:val="000000"/>
          <w:sz w:val="21"/>
        </w:rPr>
        <w:t>[Filed 9/6/85, Notice 6/19/85—published 9/25/85, effective 10/30/85]</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ARC 3502C</w:t>
      </w:r>
      <w:r>
        <w:rPr>
          <w:rFonts w:ascii="Times New Roman" w:hAnsi="Times New Roman"/>
          <w:b w:val="false"/>
          <w:i w:val="false"/>
          <w:color w:val="000000"/>
          <w:sz w:val="21"/>
        </w:rPr>
        <w:t xml:space="preserve"> (Notice ARC 3326C,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7748C</w:t>
      </w:r>
      <w:r>
        <w:rPr>
          <w:rFonts w:ascii="Times New Roman" w:hAnsi="Times New Roman"/>
          <w:b w:val="false"/>
          <w:i w:val="false"/>
          <w:color w:val="000000"/>
          <w:sz w:val="21"/>
        </w:rPr>
        <w:t xml:space="preserve"> (Notice ARC 7577C, IAB 2/7/24)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chapter/199.1-9.pdf" Type="http://schemas.openxmlformats.org/officeDocument/2006/relationships/hyperlink" Id="rId6"/>
    <Relationship TargetMode="External" Target="https://www.legis.iowa.gov/docs/iac/chapter/199.10-18.pdf" Type="http://schemas.openxmlformats.org/officeDocument/2006/relationships/hyperlink" Id="rId7"/>
    <Relationship TargetMode="External" Target="https://www.legis.iowa.gov/docs/iac/chapter/199.19-27.pdf" Type="http://schemas.openxmlformats.org/officeDocument/2006/relationships/hyperlink" Id="rId8"/>
    <Relationship TargetMode="External" Target="https://www.legis.iowa.gov/docs/iac/chapter/199.28-36.pdf" Type="http://schemas.openxmlformats.org/officeDocument/2006/relationships/hyperlink" Id="rId9"/>
    <Relationship TargetMode="External" Target="https://www.legis.iowa.gov/docs/iac/chapter/199.37-4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474.pdf" Type="http://schemas.openxmlformats.org/officeDocument/2006/relationships/hyperlink" Id="rId12"/>
    <Relationship TargetMode="External" Target="https://www.legis.iowa.gov/docs/ico/chapter/47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