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MANAGEMENT EFFICIENCY EVALUATION</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199—29.1</w:t>
      </w:r>
      <w:r>
        <w:rPr>
          <w:rFonts w:ascii="Times New Roman" w:hAnsi="Times New Roman"/>
          <w:b/>
          <w:i w:val="false"/>
          <w:color w:val="000000"/>
          <w:sz w:val="22"/>
        </w:rPr>
        <w:t xml:space="preserve">(476) </w:t>
      </w:r>
      <w:r>
        <w:rPr>
          <w:rFonts w:ascii="Times New Roman" w:hAnsi="Times New Roman"/>
          <w:b/>
          <w:i w:val="false"/>
          <w:color w:val="000000"/>
          <w:sz w:val="22"/>
        </w:rPr>
        <w:t xml:space="preserve">Policy and purpose. </w:t>
      </w:r>
      <w:r>
        <w:rPr>
          <w:rFonts w:ascii="Times New Roman" w:hAnsi="Times New Roman"/>
          <w:b w:val="false"/>
          <w:i w:val="false"/>
          <w:color w:val="000000"/>
          <w:sz w:val="22"/>
        </w:rPr>
        <w:t>It is the policy of the commission that a public utility shall be operated in an efficient manner. This chapter describes the methodology by which the commission may evaluate the management efficiency of a rate-regulated utility and the actions that the commission may take upon a finding as to the efficiency of a utility’s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199—29.2</w:t>
      </w:r>
      <w:r>
        <w:rPr>
          <w:rFonts w:ascii="Times New Roman" w:hAnsi="Times New Roman"/>
          <w:b/>
          <w:i w:val="false"/>
          <w:color w:val="000000"/>
          <w:sz w:val="22"/>
        </w:rPr>
        <w:t xml:space="preserve">(476) </w:t>
      </w:r>
      <w:r>
        <w:rPr>
          <w:rFonts w:ascii="Times New Roman" w:hAnsi="Times New Roman"/>
          <w:b/>
          <w:i w:val="false"/>
          <w:color w:val="000000"/>
          <w:sz w:val="22"/>
        </w:rPr>
        <w:t xml:space="preserve">Efficiency considered in a complaint or rate case proceeding. </w:t>
      </w:r>
      <w:r>
        <w:rPr>
          <w:rFonts w:ascii="Times New Roman" w:hAnsi="Times New Roman"/>
          <w:b w:val="false"/>
          <w:i w:val="false"/>
          <w:color w:val="000000"/>
          <w:sz w:val="22"/>
        </w:rPr>
        <w:t xml:space="preserve">In a complaint proceeding conducted pursuant to Iowa Code section </w:t>
      </w:r>
      <w:hyperlink r:id="rId4">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or in a rate proceeding conducted pursuant to Iowa Code section </w:t>
      </w:r>
      <w:hyperlink r:id="rId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the commission may determine whether a public utility subject to rate regulation is being operated in an efficient or inefficient manner. In making such a determination, the commission shall evaluate the management of the utility in the manner prescribed by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199—29.3</w:t>
      </w:r>
      <w:r>
        <w:rPr>
          <w:rFonts w:ascii="Times New Roman" w:hAnsi="Times New Roman"/>
          <w:b/>
          <w:i w:val="false"/>
          <w:color w:val="000000"/>
          <w:sz w:val="22"/>
        </w:rPr>
        <w:t xml:space="preserve">(476) </w:t>
      </w:r>
      <w:r>
        <w:rPr>
          <w:rFonts w:ascii="Times New Roman" w:hAnsi="Times New Roman"/>
          <w:b/>
          <w:i w:val="false"/>
          <w:color w:val="000000"/>
          <w:sz w:val="22"/>
        </w:rPr>
        <w:t xml:space="preserve">Management efficiency evaluation. </w:t>
      </w:r>
      <w:r>
        <w:rPr>
          <w:rFonts w:ascii="Times New Roman" w:hAnsi="Times New Roman"/>
          <w:b w:val="false"/>
          <w:i w:val="false"/>
          <w:color w:val="000000"/>
          <w:sz w:val="22"/>
        </w:rPr>
        <w:t>The commission may evaluate a utility’s management efficiency based upon the utility’s particular circumstances and considering a range of factors that may differ among utilities. In evaluating a utility’s management efficiency, the commission may consider any of the factors listed in this chapter and any additional relevant factors. No single factor will be deemed conclusive evidence of efficiency or inefficiency. In performing the evaluation, the commission may collect data to compare a utility to other rate-regulated utilities providing the same service within the state of Iowa. The commission may consider data for time periods outside a rate case test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Factors. </w:t>
      </w:r>
      <w:r>
        <w:rPr>
          <w:rFonts w:ascii="Times New Roman" w:hAnsi="Times New Roman"/>
          <w:b w:val="false"/>
          <w:i w:val="false"/>
          <w:color w:val="000000"/>
          <w:sz w:val="22"/>
        </w:rPr>
        <w:t>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per unit of service (including amounts collected subject to refund) by customer class and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 per unit of service. Low operations and maintenance costs may not support a finding of efficiency if quality of service is substandard.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of service, as reflected in objective measures of service quality, customer complaints shown in company and commission records, findings made in complaint proceedings, penalties assessed, and measures of customer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Customer mix.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compensation for each officer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Company’s bad debt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Innovative practices implemented by utility management that result in improved service or that control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Geographic service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Economic conditions in the areas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Weather patterns and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energy efficiency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Electric utilities. </w:t>
      </w:r>
      <w:r>
        <w:rPr>
          <w:rFonts w:ascii="Times New Roman" w:hAnsi="Times New Roman"/>
          <w:b w:val="false"/>
          <w:i w:val="false"/>
          <w:color w:val="000000"/>
          <w:sz w:val="22"/>
        </w:rPr>
        <w:t xml:space="preserve">When evaluating an electric utility, in addition to considering the factors listed in subrule </w:t>
      </w:r>
      <w:hyperlink r:id="rId6">
        <w:r>
          <w:rPr>
            <w:rStyle w:val="Hyperlink"/>
            <w:rFonts w:ascii="Times New Roman" w:hAnsi="Times New Roman"/>
            <w:b w:val="false"/>
            <w:i w:val="false"/>
            <w:color w:val="000000"/>
            <w:sz w:val="22"/>
          </w:rPr>
          <w:t>29.3(1)</w:t>
        </w:r>
      </w:hyperlink>
      <w:r>
        <w:rPr>
          <w:rFonts w:ascii="Times New Roman" w:hAnsi="Times New Roman"/>
          <w:b w:val="false"/>
          <w:i w:val="false"/>
          <w:color w:val="000000"/>
          <w:sz w:val="22"/>
        </w:rPr>
        <w:t>, the commission may consider factors specific to electric utilities,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 cost per kilowatt-hour.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Availability for each generating unit with 2,000 or more service hours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Companywide load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Natural gas utilities. </w:t>
      </w:r>
      <w:r>
        <w:rPr>
          <w:rFonts w:ascii="Times New Roman" w:hAnsi="Times New Roman"/>
          <w:b w:val="false"/>
          <w:i w:val="false"/>
          <w:color w:val="000000"/>
          <w:sz w:val="22"/>
        </w:rPr>
        <w:t xml:space="preserve">When evaluating a natural gas utility, in addition to considering the factors listed in subrule </w:t>
      </w:r>
      <w:hyperlink r:id="rId7">
        <w:r>
          <w:rPr>
            <w:rStyle w:val="Hyperlink"/>
            <w:rFonts w:ascii="Times New Roman" w:hAnsi="Times New Roman"/>
            <w:b w:val="false"/>
            <w:i w:val="false"/>
            <w:color w:val="000000"/>
            <w:sz w:val="22"/>
          </w:rPr>
          <w:t>29.3(1)</w:t>
        </w:r>
      </w:hyperlink>
      <w:r>
        <w:rPr>
          <w:rFonts w:ascii="Times New Roman" w:hAnsi="Times New Roman"/>
          <w:b w:val="false"/>
          <w:i w:val="false"/>
          <w:color w:val="000000"/>
          <w:sz w:val="22"/>
        </w:rPr>
        <w:t xml:space="preserve">, the commission may consider factors specific to natural gas utilities, including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Total cost per unit of gas purchased from a pipeline (to be considered separately from operations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cost per unit of gas purchased from other sources (to be considered separately from operations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 and commercial sales volume in relation to investment in the system (rate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Unaccounted-for gas as a percentage of total sales volume.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199—29.4</w:t>
      </w:r>
      <w:r>
        <w:rPr>
          <w:rFonts w:ascii="Times New Roman" w:hAnsi="Times New Roman"/>
          <w:b/>
          <w:i w:val="false"/>
          <w:color w:val="000000"/>
          <w:sz w:val="22"/>
        </w:rPr>
        <w:t xml:space="preserve">(476) </w:t>
      </w:r>
      <w:r>
        <w:rPr>
          <w:rFonts w:ascii="Times New Roman" w:hAnsi="Times New Roman"/>
          <w:b/>
          <w:i w:val="false"/>
          <w:color w:val="000000"/>
          <w:sz w:val="22"/>
        </w:rPr>
        <w:t xml:space="preserve">Rewards and penalties. </w:t>
      </w:r>
      <w:r>
        <w:rPr>
          <w:rFonts w:ascii="Times New Roman" w:hAnsi="Times New Roman"/>
          <w:b w:val="false"/>
          <w:i w:val="false"/>
          <w:color w:val="000000"/>
          <w:sz w:val="22"/>
        </w:rPr>
        <w:t xml:space="preserve">If the commission makes a determination as to the efficiency of the management of a utility pursuant to this chapter, except for an electric cooperative that has elected rate regulation, the commission may prescribe an adjustment of the utility’s return on common equity or revenue requirement as allowed pursuant to Iowa Code section </w:t>
      </w:r>
      <w:hyperlink r:id="rId8">
        <w:r>
          <w:rPr>
            <w:rStyle w:val="Hyperlink"/>
            <w:rFonts w:ascii="Times New Roman" w:hAnsi="Times New Roman"/>
            <w:b w:val="false"/>
            <w:i w:val="false"/>
            <w:color w:val="000000"/>
            <w:sz w:val="22"/>
          </w:rPr>
          <w:t>476.52</w:t>
        </w:r>
      </w:hyperlink>
      <w:r>
        <w:rPr>
          <w:rFonts w:ascii="Times New Roman" w:hAnsi="Times New Roman"/>
          <w:b w:val="false"/>
          <w:i w:val="false"/>
          <w:color w:val="000000"/>
          <w:sz w:val="22"/>
        </w:rPr>
        <w:t xml:space="preserve">. Upon making a determination as to the efficiency of the management of a rural electric cooperative that has elected rate regulation, the commission may prescribe an adjustment of the rates charged by the cooperative as part of an adjustment to the utility’s revenue requirement.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8203C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476.52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2/22/85, Notice 12/5/84—published 3/13/85, effective 4/17/85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1/17/92, Notice 6/26/91—published 2/5/92, effective 3/11/92]</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ARC 4104C</w:t>
      </w:r>
      <w:r>
        <w:rPr>
          <w:rFonts w:ascii="Times New Roman" w:hAnsi="Times New Roman"/>
          <w:b w:val="false"/>
          <w:i w:val="false"/>
          <w:color w:val="000000"/>
          <w:sz w:val="21"/>
        </w:rPr>
        <w:t xml:space="preserve"> (Notice ARC 3852C, IAB 6/20/18)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8203C</w:t>
      </w:r>
      <w:r>
        <w:rPr>
          <w:rFonts w:ascii="Times New Roman" w:hAnsi="Times New Roman"/>
          <w:b w:val="false"/>
          <w:i w:val="false"/>
          <w:color w:val="000000"/>
          <w:sz w:val="21"/>
        </w:rPr>
        <w:t xml:space="preserve"> (Notice ARC 8030C, IAB 5/29/24)</w:t>
      </w:r>
      <w:r>
        <w:rPr>
          <w:rFonts w:ascii="Times New Roman" w:hAnsi="Times New Roman"/>
          <w:b w:val="false"/>
          <w:i w:val="false"/>
          <w:color w:val="000000"/>
          <w:sz w:val="21"/>
        </w:rPr>
        <w:t>, IAB 8/21/24, effective 9/25/24]</w:t>
      </w:r>
    </w:p>
    <w:p>
      <w:pPr>
        <w:pBdr>
          <w:bottom w:space="2"/>
        </w:pBdr>
        <w:spacing w:before="0" w:after="0"/>
        <w:ind w:left="120"/>
        <w:jc w:val="both"/>
      </w:pPr>
      <w:r>
        <w:rPr>
          <w:rFonts w:ascii="Times New Roman" w:hAnsi="Times New Roman"/>
          <w:b w:val="false"/>
          <w:i w:val="false"/>
          <w:color w:val="000000"/>
          <w:sz w:val="22"/>
        </w:rPr>
        <w:t>Effective date of Ch 29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29.3.pdf" Type="http://schemas.openxmlformats.org/officeDocument/2006/relationships/hyperlink" Id="rId6"/>
    <Relationship TargetMode="External" Target="https://www.legis.iowa.gov/docs/iac/rule/199.29.3.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