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SERVICE SUPPLIED BY WATER, SANITARY SEWAGE, AND STORM WATER DRAINAGE UTILITIES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199—21.1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of rules. </w:t>
      </w:r>
    </w:p>
    <w:p>
      <w:pPr>
        <w:spacing w:before="0" w:after="0"/>
        <w:ind w:left="120"/>
        <w:jc w:val="both"/>
      </w:pP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This chapter applies to any water, sanitary sewage, or storm water drainage utility operating within the state of Iowa under the jurisdiction of the Iowa utilities commission and is established under 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are intended to establish standards of service to the public by utilities providing water by piped distribution systems and utilities providing sanitary sewage or storm water drainage disposal by piped collection systems which are subject to the jurisdiction of the Iowa utilities commission, and to provide standards for uniform practices by those utilities.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Organization. </w:t>
      </w:r>
      <w:r>
        <w:rPr>
          <w:rFonts w:ascii="Times New Roman" w:hAnsi="Times New Roman"/>
          <w:b w:val="false"/>
          <w:i w:val="false"/>
          <w:color w:val="000000"/>
          <w:sz w:val="22"/>
        </w:rPr>
        <w:t xml:space="preserve">This rule and rule </w:t>
      </w:r>
      <w:hyperlink r:id="rId5">
        <w:r>
          <w:rPr>
            <w:rStyle w:val="Hyperlink"/>
            <w:rFonts w:ascii="Times New Roman" w:hAnsi="Times New Roman"/>
            <w:b w:val="false"/>
            <w:i w:val="false"/>
            <w:color w:val="000000"/>
            <w:sz w:val="22"/>
          </w:rPr>
          <w:t>199—21.2</w:t>
        </w:r>
      </w:hyperlink>
      <w:r>
        <w:rPr>
          <w:rFonts w:ascii="Times New Roman" w:hAnsi="Times New Roman"/>
          <w:b w:val="false"/>
          <w:i w:val="false"/>
          <w:color w:val="000000"/>
          <w:sz w:val="22"/>
        </w:rPr>
        <w:t xml:space="preserve">(476) apply to water, sanitary sewage, and storm water drainage utilities. Rules </w:t>
      </w:r>
      <w:hyperlink r:id="rId6">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 xml:space="preserve">(476) through </w:t>
      </w:r>
      <w:hyperlink r:id="rId7">
        <w:r>
          <w:rPr>
            <w:rStyle w:val="Hyperlink"/>
            <w:rFonts w:ascii="Times New Roman" w:hAnsi="Times New Roman"/>
            <w:b w:val="false"/>
            <w:i w:val="false"/>
            <w:color w:val="000000"/>
            <w:sz w:val="22"/>
          </w:rPr>
          <w:t>199—21.10</w:t>
        </w:r>
      </w:hyperlink>
      <w:r>
        <w:rPr>
          <w:rFonts w:ascii="Times New Roman" w:hAnsi="Times New Roman"/>
          <w:b w:val="false"/>
          <w:i w:val="false"/>
          <w:color w:val="000000"/>
          <w:sz w:val="22"/>
        </w:rPr>
        <w:t xml:space="preserve">(476) apply only to water utilities. Rules </w:t>
      </w:r>
      <w:hyperlink r:id="rId8">
        <w:r>
          <w:rPr>
            <w:rStyle w:val="Hyperlink"/>
            <w:rFonts w:ascii="Times New Roman" w:hAnsi="Times New Roman"/>
            <w:b w:val="false"/>
            <w:i w:val="false"/>
            <w:color w:val="000000"/>
            <w:sz w:val="22"/>
          </w:rPr>
          <w:t>199—21.11</w:t>
        </w:r>
      </w:hyperlink>
      <w:r>
        <w:rPr>
          <w:rFonts w:ascii="Times New Roman" w:hAnsi="Times New Roman"/>
          <w:b w:val="false"/>
          <w:i w:val="false"/>
          <w:color w:val="000000"/>
          <w:sz w:val="22"/>
        </w:rPr>
        <w:t xml:space="preserve">(476) through </w:t>
      </w:r>
      <w:hyperlink r:id="rId9">
        <w:r>
          <w:rPr>
            <w:rStyle w:val="Hyperlink"/>
            <w:rFonts w:ascii="Times New Roman" w:hAnsi="Times New Roman"/>
            <w:b w:val="false"/>
            <w:i w:val="false"/>
            <w:color w:val="000000"/>
            <w:sz w:val="22"/>
          </w:rPr>
          <w:t>199—21.17</w:t>
        </w:r>
      </w:hyperlink>
      <w:r>
        <w:rPr>
          <w:rFonts w:ascii="Times New Roman" w:hAnsi="Times New Roman"/>
          <w:b w:val="false"/>
          <w:i w:val="false"/>
          <w:color w:val="000000"/>
          <w:sz w:val="22"/>
        </w:rPr>
        <w:t xml:space="preserve">(476) apply only to sanitary sewage utilities. Rules </w:t>
      </w:r>
      <w:hyperlink r:id="rId10">
        <w:r>
          <w:rPr>
            <w:rStyle w:val="Hyperlink"/>
            <w:rFonts w:ascii="Times New Roman" w:hAnsi="Times New Roman"/>
            <w:b w:val="false"/>
            <w:i w:val="false"/>
            <w:color w:val="000000"/>
            <w:sz w:val="22"/>
          </w:rPr>
          <w:t>199—21.18</w:t>
        </w:r>
      </w:hyperlink>
      <w:r>
        <w:rPr>
          <w:rFonts w:ascii="Times New Roman" w:hAnsi="Times New Roman"/>
          <w:b w:val="false"/>
          <w:i w:val="false"/>
          <w:color w:val="000000"/>
          <w:sz w:val="22"/>
        </w:rPr>
        <w:t xml:space="preserve">(476) through </w:t>
      </w:r>
      <w:hyperlink r:id="rId11">
        <w:r>
          <w:rPr>
            <w:rStyle w:val="Hyperlink"/>
            <w:rFonts w:ascii="Times New Roman" w:hAnsi="Times New Roman"/>
            <w:b w:val="false"/>
            <w:i w:val="false"/>
            <w:color w:val="000000"/>
            <w:sz w:val="22"/>
          </w:rPr>
          <w:t>199—21.21</w:t>
        </w:r>
      </w:hyperlink>
      <w:r>
        <w:rPr>
          <w:rFonts w:ascii="Times New Roman" w:hAnsi="Times New Roman"/>
          <w:b w:val="false"/>
          <w:i w:val="false"/>
          <w:color w:val="000000"/>
          <w:sz w:val="22"/>
        </w:rPr>
        <w:t>(476) apply only to storm water drainage utilities.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Commission. </w:t>
      </w:r>
      <w:r>
        <w:rPr>
          <w:rFonts w:ascii="Times New Roman" w:hAnsi="Times New Roman"/>
          <w:b w:val="false"/>
          <w:i w:val="false"/>
          <w:color w:val="000000"/>
          <w:sz w:val="22"/>
        </w:rPr>
        <w:t>The term “commission” as used in this chapter means the Iowa utilities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The term “utility” or “utilities,” when not more specifically described, means a water, sanitary sewage, or storm water drainage public utility as defined in Iowa Code section </w:t>
      </w:r>
      <w:hyperlink r:id="rId12">
        <w:r>
          <w:rPr>
            <w:rStyle w:val="Hyperlink"/>
            <w:rFonts w:ascii="Times New Roman" w:hAnsi="Times New Roman"/>
            <w:b w:val="false"/>
            <w:i w:val="false"/>
            <w:color w:val="000000"/>
            <w:sz w:val="22"/>
          </w:rPr>
          <w:t>476.1(3)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term does not include a county or an entity organized pursuant to Iowa Code chapter </w:t>
      </w:r>
      <w:hyperlink r:id="rId1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which is comprised entirely of counties.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Waiver. </w:t>
      </w:r>
      <w:r>
        <w:rPr>
          <w:rFonts w:ascii="Times New Roman" w:hAnsi="Times New Roman"/>
          <w:b w:val="false"/>
          <w:i w:val="false"/>
          <w:color w:val="000000"/>
          <w:sz w:val="22"/>
        </w:rPr>
        <w:t>A utility or customer may file for a waiver of these rules in accordance with the provisions of rule </w:t>
      </w:r>
      <w:hyperlink r:id="rId14">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Other laws. </w:t>
      </w:r>
      <w:r>
        <w:rPr>
          <w:rFonts w:ascii="Times New Roman" w:hAnsi="Times New Roman"/>
          <w:b w:val="false"/>
          <w:i w:val="false"/>
          <w:color w:val="000000"/>
          <w:sz w:val="22"/>
        </w:rPr>
        <w:t>These rules shall not relieve a utility from its duties under the laws of this state.</w:t>
      </w:r>
    </w:p>
    <w:p>
      <w:pPr>
        <w:spacing w:before="0" w:after="0"/>
        <w:ind w:left="120"/>
        <w:jc w:val="both"/>
      </w:pP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1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 and filing of reports, documents, and other papers necessary to carry out the provisions of Iowa Code chapter </w:t>
      </w:r>
      <w:hyperlink r:id="rId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for water, sanitary sewage, and storm water drainage utilities. </w:t>
      </w:r>
    </w:p>
    <w:p>
      <w:pPr>
        <w:spacing w:before="0" w:after="0"/>
        <w:ind w:left="120"/>
        <w:jc w:val="both"/>
      </w:pP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in this chapter, all records required by these rules shall be kept and preserved in accordance with the applicable provisions of </w:t>
      </w:r>
      <w:hyperlink r:id="rId17">
        <w:r>
          <w:rPr>
            <w:rStyle w:val="Hyperlink"/>
            <w:rFonts w:ascii="Times New Roman" w:hAnsi="Times New Roman"/>
            <w:b w:val="false"/>
            <w:i w:val="false"/>
            <w:color w:val="000000"/>
            <w:sz w:val="22"/>
          </w:rPr>
          <w:t>199—Chapter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The utility shall maintain its tariff filing in a current status.</w:t>
      </w:r>
    </w:p>
    <w:p>
      <w:pPr>
        <w:spacing w:before="0" w:after="0"/>
        <w:ind w:left="120"/>
        <w:jc w:val="both"/>
      </w:pPr>
      <w:r>
        <w:rPr>
          <w:rFonts w:ascii="Times New Roman" w:hAnsi="Times New Roman"/>
          <w:b w:val="false"/>
          <w:i w:val="false"/>
          <w:color w:val="000000"/>
          <w:sz w:val="22"/>
        </w:rPr>
        <w:t>The rates and rules of all utilities subject to the rules in this chapter shall be filed with the commission.</w:t>
      </w:r>
    </w:p>
    <w:p>
      <w:pPr>
        <w:spacing w:before="0" w:after="0"/>
        <w:ind w:left="120"/>
        <w:jc w:val="both"/>
      </w:pPr>
      <w:r>
        <w:rPr>
          <w:rFonts w:ascii="Times New Roman" w:hAnsi="Times New Roman"/>
          <w:b w:val="false"/>
          <w:i w:val="false"/>
          <w:color w:val="000000"/>
          <w:sz w:val="22"/>
        </w:rPr>
        <w:t>The form, identification and content of tariffs shall be in accordance with these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Form and identification.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tariff shall be on 8½ × 11-inch pages so as to result in a clear and permanent record. Tariffs shall be filed electronically in compliance with </w:t>
      </w:r>
      <w:hyperlink r:id="rId1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tariff shall conform to the following requirements:</w:t>
      </w:r>
    </w:p>
    <w:p>
      <w:pPr>
        <w:numPr>
          <w:ilvl w:val="0"/>
          <w:numId w:val="3"/>
        </w:numPr>
        <w:spacing w:before="0" w:after="0"/>
        <w:jc w:val="both"/>
      </w:pPr>
      <w:r>
        <w:rPr>
          <w:rFonts w:ascii="Times New Roman" w:hAnsi="Times New Roman"/>
          <w:b w:val="false"/>
          <w:i w:val="false"/>
          <w:color w:val="000000"/>
          <w:sz w:val="22"/>
        </w:rPr>
        <w:t>The first page shall be the title page, which will show the name of the utility, the type of utility service being provided, and the words “Iowa Utilities Commission.”</w:t>
      </w:r>
    </w:p>
    <w:p>
      <w:pPr>
        <w:numPr>
          <w:ilvl w:val="0"/>
          <w:numId w:val="4"/>
        </w:numPr>
        <w:spacing w:before="0" w:after="0"/>
        <w:jc w:val="both"/>
      </w:pPr>
      <w:r>
        <w:rPr>
          <w:rFonts w:ascii="Times New Roman" w:hAnsi="Times New Roman"/>
          <w:b w:val="false"/>
          <w:i w:val="false"/>
          <w:color w:val="000000"/>
          <w:sz w:val="22"/>
        </w:rPr>
        <w:t>When a tariff is to be superseded or replaced in its entirety, the replacing tariff shall show on the upper right corner of its title page that it is a revision of a tariff on file and the number being superseded or replaced; for example:</w:t>
      </w:r>
    </w:p>
    <w:p>
      <w:pPr>
        <w:spacing w:before="0" w:after="0"/>
        <w:ind w:left="120"/>
        <w:jc w:val="both"/>
      </w:pPr>
      <w:r>
        <w:rPr>
          <w:rFonts w:ascii="Times New Roman" w:hAnsi="Times New Roman"/>
          <w:b w:val="false"/>
          <w:i w:val="false"/>
          <w:color w:val="000000"/>
          <w:sz w:val="22"/>
        </w:rPr>
        <w:t>Tariff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_______________</w:t>
      </w:r>
    </w:p>
    <w:p>
      <w:pPr>
        <w:spacing w:before="0" w:after="0"/>
        <w:ind w:left="120"/>
        <w:jc w:val="both"/>
      </w:pPr>
      <w:r>
        <w:rPr>
          <w:rFonts w:ascii="Times New Roman" w:hAnsi="Times New Roman"/>
          <w:b w:val="false"/>
          <w:i w:val="false"/>
          <w:color w:val="000000"/>
          <w:sz w:val="22"/>
        </w:rPr>
        <w:t>Supersedes Tariff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_______________</w:t>
      </w:r>
    </w:p>
    <w:p>
      <w:pPr>
        <w:numPr>
          <w:ilvl w:val="0"/>
          <w:numId w:val="5"/>
        </w:numPr>
        <w:spacing w:before="0" w:after="0"/>
        <w:jc w:val="both"/>
      </w:pPr>
      <w:r>
        <w:rPr>
          <w:rFonts w:ascii="Times New Roman" w:hAnsi="Times New Roman"/>
          <w:b w:val="false"/>
          <w:i w:val="false"/>
          <w:color w:val="000000"/>
          <w:sz w:val="22"/>
        </w:rPr>
        <w:t>When a tariff sheet in a tariff is revised, amended, or eliminated, the tariff sheet shall indicate in the top right corner the number of the revision to that tariff sheet.</w:t>
      </w:r>
    </w:p>
    <w:p>
      <w:pPr>
        <w:numPr>
          <w:ilvl w:val="0"/>
          <w:numId w:val="5"/>
        </w:numPr>
        <w:spacing w:before="0" w:after="0"/>
        <w:jc w:val="both"/>
      </w:pPr>
      <w:r>
        <w:rPr>
          <w:rFonts w:ascii="Times New Roman" w:hAnsi="Times New Roman"/>
          <w:b w:val="false"/>
          <w:i w:val="false"/>
          <w:color w:val="000000"/>
          <w:sz w:val="22"/>
        </w:rPr>
        <w:t>Any tariff sheet modifications shall be marked in the right margin with symbols as described below to indicate the place, nature, and extent of the change in text. The marked version shall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(C)—Change in regulation.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(D)—Discontinued rate or regulation.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(I)—Increase in rate or new treatment resulting in increased rate.</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(N)—New rate, treatment, or regulation.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(R)—Reduction in rate or new treatment resulting in reduction in rate.</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(T)—Change in text only.</w:t>
      </w:r>
    </w:p>
    <w:p>
      <w:pPr>
        <w:numPr>
          <w:ilvl w:val="0"/>
          <w:numId w:val="7"/>
        </w:numPr>
        <w:spacing w:before="0" w:after="0"/>
        <w:jc w:val="both"/>
      </w:pPr>
      <w:r>
        <w:rPr>
          <w:rFonts w:ascii="Times New Roman" w:hAnsi="Times New Roman"/>
          <w:b w:val="false"/>
          <w:i w:val="false"/>
          <w:color w:val="000000"/>
          <w:sz w:val="22"/>
        </w:rPr>
        <w:t>All sheets except the title page shall have the following information located at the top left of the tariff sheet:</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Company name.</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Type of utility tariff.</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The words “Filed with commission.”</w:t>
      </w:r>
    </w:p>
    <w:p>
      <w:pPr>
        <w:numPr>
          <w:ilvl w:val="0"/>
          <w:numId w:val="8"/>
        </w:numPr>
        <w:spacing w:before="0" w:after="0"/>
        <w:jc w:val="both"/>
      </w:pPr>
      <w:r>
        <w:rPr>
          <w:rFonts w:ascii="Times New Roman" w:hAnsi="Times New Roman"/>
          <w:b w:val="false"/>
          <w:i w:val="false"/>
          <w:color w:val="000000"/>
          <w:sz w:val="22"/>
        </w:rPr>
        <w:t>All sheets except the title page shall have the following information located at the top right of the tariff sheet:</w:t>
      </w:r>
    </w:p>
    <w:p>
      <w:pPr>
        <w:numPr>
          <w:ilvl w:val="1"/>
          <w:numId w:val="8"/>
        </w:numPr>
        <w:spacing w:before="0" w:after="0"/>
        <w:jc w:val="both"/>
      </w:pPr>
    </w:p>
    <w:p>
      <w:pPr>
        <w:spacing w:before="0" w:after="0"/>
        <w:ind w:left="360"/>
        <w:jc w:val="both"/>
      </w:pPr>
      <w:r>
        <w:rPr>
          <w:rFonts w:ascii="Times New Roman" w:hAnsi="Times New Roman"/>
          <w:b w:val="false"/>
          <w:i w:val="false"/>
          <w:color w:val="000000"/>
          <w:sz w:val="22"/>
        </w:rPr>
        <w:t>Tariff part identification, if any.</w:t>
      </w:r>
    </w:p>
    <w:p>
      <w:pPr>
        <w:numPr>
          <w:ilvl w:val="1"/>
          <w:numId w:val="8"/>
        </w:numPr>
        <w:spacing w:before="0" w:after="0"/>
        <w:jc w:val="both"/>
      </w:pPr>
    </w:p>
    <w:p>
      <w:pPr>
        <w:spacing w:before="0" w:after="0"/>
        <w:ind w:left="360"/>
        <w:jc w:val="both"/>
      </w:pPr>
      <w:r>
        <w:rPr>
          <w:rFonts w:ascii="Times New Roman" w:hAnsi="Times New Roman"/>
          <w:b w:val="false"/>
          <w:i w:val="false"/>
          <w:color w:val="000000"/>
          <w:sz w:val="22"/>
        </w:rPr>
        <w:t>Tariff sheet number, original or revised.</w:t>
      </w:r>
    </w:p>
    <w:p>
      <w:pPr>
        <w:numPr>
          <w:ilvl w:val="1"/>
          <w:numId w:val="8"/>
        </w:numPr>
        <w:spacing w:before="0" w:after="0"/>
        <w:jc w:val="both"/>
      </w:pPr>
    </w:p>
    <w:p>
      <w:pPr>
        <w:spacing w:before="0" w:after="0"/>
        <w:ind w:left="360"/>
        <w:jc w:val="both"/>
      </w:pPr>
      <w:r>
        <w:rPr>
          <w:rFonts w:ascii="Times New Roman" w:hAnsi="Times New Roman"/>
          <w:b w:val="false"/>
          <w:i w:val="false"/>
          <w:color w:val="000000"/>
          <w:sz w:val="22"/>
        </w:rPr>
        <w:t>Canceled tariff sheet number, original or revised.</w:t>
      </w:r>
    </w:p>
    <w:p>
      <w:pPr>
        <w:numPr>
          <w:ilvl w:val="0"/>
          <w:numId w:val="9"/>
        </w:numPr>
        <w:spacing w:before="0" w:after="0"/>
        <w:jc w:val="both"/>
      </w:pPr>
      <w:r>
        <w:rPr>
          <w:rFonts w:ascii="Times New Roman" w:hAnsi="Times New Roman"/>
          <w:b w:val="false"/>
          <w:i w:val="false"/>
          <w:color w:val="000000"/>
          <w:sz w:val="22"/>
        </w:rPr>
        <w:t>All sheets except the title page shall have the following information located at the bottom left of the tariff sheet:</w:t>
      </w:r>
    </w:p>
    <w:p>
      <w:pPr>
        <w:numPr>
          <w:ilvl w:val="1"/>
          <w:numId w:val="9"/>
        </w:numPr>
        <w:spacing w:before="0" w:after="0"/>
        <w:jc w:val="both"/>
      </w:pPr>
    </w:p>
    <w:p>
      <w:pPr>
        <w:spacing w:before="0" w:after="0"/>
        <w:ind w:left="360"/>
        <w:jc w:val="both"/>
      </w:pPr>
      <w:r>
        <w:rPr>
          <w:rFonts w:ascii="Times New Roman" w:hAnsi="Times New Roman"/>
          <w:b w:val="false"/>
          <w:i w:val="false"/>
          <w:color w:val="000000"/>
          <w:sz w:val="22"/>
        </w:rPr>
        <w:t>The issued date.</w:t>
      </w:r>
    </w:p>
    <w:p>
      <w:pPr>
        <w:numPr>
          <w:ilvl w:val="1"/>
          <w:numId w:val="9"/>
        </w:numPr>
        <w:spacing w:before="0" w:after="0"/>
        <w:jc w:val="both"/>
      </w:pPr>
    </w:p>
    <w:p>
      <w:pPr>
        <w:spacing w:before="0" w:after="0"/>
        <w:ind w:left="360"/>
        <w:jc w:val="both"/>
      </w:pPr>
      <w:r>
        <w:rPr>
          <w:rFonts w:ascii="Times New Roman" w:hAnsi="Times New Roman"/>
          <w:b w:val="false"/>
          <w:i w:val="false"/>
          <w:color w:val="000000"/>
          <w:sz w:val="22"/>
        </w:rPr>
        <w:t>The name of the person responsible for the issuance.</w:t>
      </w:r>
    </w:p>
    <w:p>
      <w:pPr>
        <w:numPr>
          <w:ilvl w:val="0"/>
          <w:numId w:val="10"/>
        </w:numPr>
        <w:spacing w:before="0" w:after="0"/>
        <w:jc w:val="both"/>
      </w:pPr>
      <w:r>
        <w:rPr>
          <w:rFonts w:ascii="Times New Roman" w:hAnsi="Times New Roman"/>
          <w:b w:val="false"/>
          <w:i w:val="false"/>
          <w:color w:val="000000"/>
          <w:sz w:val="22"/>
        </w:rPr>
        <w:t>All sheets except the title page shall have the following information located at the bottom right of the tariff sheet:</w:t>
      </w:r>
    </w:p>
    <w:p>
      <w:pPr>
        <w:numPr>
          <w:ilvl w:val="1"/>
          <w:numId w:val="10"/>
        </w:numPr>
        <w:spacing w:before="0" w:after="0"/>
        <w:jc w:val="both"/>
      </w:pPr>
    </w:p>
    <w:p>
      <w:pPr>
        <w:spacing w:before="0" w:after="0"/>
        <w:ind w:left="360"/>
        <w:jc w:val="both"/>
      </w:pPr>
      <w:r>
        <w:rPr>
          <w:rFonts w:ascii="Times New Roman" w:hAnsi="Times New Roman"/>
          <w:b w:val="false"/>
          <w:i w:val="false"/>
          <w:color w:val="000000"/>
          <w:sz w:val="22"/>
        </w:rPr>
        <w:t>An effective date field.</w:t>
      </w:r>
    </w:p>
    <w:p>
      <w:pPr>
        <w:numPr>
          <w:ilvl w:val="1"/>
          <w:numId w:val="10"/>
        </w:numPr>
        <w:spacing w:before="0" w:after="0"/>
        <w:jc w:val="both"/>
      </w:pPr>
    </w:p>
    <w:p>
      <w:pPr>
        <w:spacing w:before="0" w:after="0"/>
        <w:ind w:left="360"/>
        <w:jc w:val="both"/>
      </w:pPr>
      <w:r>
        <w:rPr>
          <w:rFonts w:ascii="Times New Roman" w:hAnsi="Times New Roman"/>
          <w:b w:val="false"/>
          <w:i w:val="false"/>
          <w:color w:val="000000"/>
          <w:sz w:val="22"/>
        </w:rPr>
        <w:t>Proposed effective date for the tariff sheet.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effective date may be left blank by the utility and shall be determined by the commission. The utility may propose an effective date.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 xml:space="preserve">A tariff filed with the commission shall contain a table of contents and rates, including all rates of utilities for service with indication for each rate of the type of service and the class of customers to which each rate applies as approved by the commission. There shall also be shown the prices per unit of service, the number of units per billing period to which the prices apply, the period of billing, the minimum bill, the method of measuring demands and consumptions, including method of calculating or estimating loads or minimums, and any special terms and conditions applicable. Any discount for prompt payment or penalty for late payment and the period during which the net amount may be paid shall be specified and shall be in accordance with subrule </w:t>
      </w:r>
      <w:hyperlink r:id="rId19">
        <w:r>
          <w:rPr>
            <w:rStyle w:val="Hyperlink"/>
            <w:rFonts w:ascii="Times New Roman" w:hAnsi="Times New Roman"/>
            <w:b w:val="false"/>
            <w:i w:val="false"/>
            <w:color w:val="000000"/>
            <w:sz w:val="22"/>
          </w:rPr>
          <w:t>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w:t>
      </w:r>
      <w:hyperlink r:id="rId20">
        <w:r>
          <w:rPr>
            <w:rStyle w:val="Hyperlink"/>
            <w:rFonts w:ascii="Times New Roman" w:hAnsi="Times New Roman"/>
            <w:b w:val="false"/>
            <w:i w:val="false"/>
            <w:color w:val="000000"/>
            <w:sz w:val="22"/>
          </w:rPr>
          <w:t>199—subrule 23.1(2)</w:t>
        </w:r>
      </w:hyperlink>
      <w:r>
        <w:rPr>
          <w:rFonts w:ascii="Times New Roman" w:hAnsi="Times New Roman"/>
          <w:b w:val="false"/>
          <w:i w:val="false"/>
          <w:color w:val="000000"/>
          <w:sz w:val="22"/>
        </w:rPr>
        <w:t xml:space="preserve"> a list of names, titles, addresses, and telephone numbers of persons authorized to receive, act upon, and respond to communications from the commission in connection with: (1) general management duties; (2) customer relations (complaints); (3) engineering operations; and (4) meter tests and repairs, if meters are used. Each utility shall file with the commission a telephone contact number where the commission can obtain current information 24 hours a day about interruptions of service from a knowledgeable person. The contact information required by this subrule shall be kept current.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WATER UTILITIES</w:t>
      </w:r>
    </w:p>
    <w:p>
      <w:pPr>
        <w:spacing w:before="0" w:after="0"/>
        <w:ind w:left="120"/>
        <w:jc w:val="both"/>
      </w:pPr>
      <w:r>
        <w:rPr>
          <w:rFonts w:ascii="Times New Roman" w:hAnsi="Times New Roman"/>
          <w:b/>
          <w:i w:val="false"/>
          <w:color w:val="000000"/>
          <w:sz w:val="22"/>
        </w:rPr>
        <w:t>199—21.3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water service requirements. </w:t>
      </w:r>
    </w:p>
    <w:p>
      <w:pPr>
        <w:spacing w:before="0" w:after="0"/>
        <w:ind w:left="120"/>
        <w:jc w:val="both"/>
      </w:pP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Metered measurement of water. </w:t>
      </w:r>
      <w:r>
        <w:rPr>
          <w:rFonts w:ascii="Times New Roman" w:hAnsi="Times New Roman"/>
          <w:b w:val="false"/>
          <w:i w:val="false"/>
          <w:color w:val="000000"/>
          <w:sz w:val="22"/>
        </w:rPr>
        <w:t>All water sold by a utility shall be on the basis of metered measurement except that the utility may at its option provide flat rate or estimated service for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Temporary service where the water use can be readily estimated.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Public and private fire protection service.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Water used for street sprinkling and sewer flushing.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Separate metering for premises. </w:t>
      </w:r>
      <w:r>
        <w:rPr>
          <w:rFonts w:ascii="Times New Roman" w:hAnsi="Times New Roman"/>
          <w:b w:val="false"/>
          <w:i w:val="false"/>
          <w:color w:val="000000"/>
          <w:sz w:val="22"/>
        </w:rPr>
        <w:t>Separate premises shall be separately metered and billed. Submetering shall not be permitted.</w:t>
      </w:r>
    </w:p>
    <w:p>
      <w:pPr>
        <w:spacing w:before="0" w:after="0"/>
        <w:ind w:left="120"/>
        <w:jc w:val="both"/>
      </w:pP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the costs of installing and removing the service in excess of any salvage realized.</w:t>
      </w:r>
    </w:p>
    <w:p>
      <w:pPr>
        <w:spacing w:before="0" w:after="0"/>
        <w:ind w:left="120"/>
        <w:jc w:val="both"/>
      </w:pP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Water meter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Water meter installation. </w:t>
      </w:r>
      <w:r>
        <w:rPr>
          <w:rFonts w:ascii="Times New Roman" w:hAnsi="Times New Roman"/>
          <w:b w:val="false"/>
          <w:i w:val="false"/>
          <w:color w:val="000000"/>
          <w:sz w:val="22"/>
        </w:rPr>
        <w:t>Each water utility shall adopt a written standard method of meter installation. Copies of standard methods shall be made available upon request. All meters shall be set in place by the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Records of water meters and associated metering devices. </w:t>
      </w:r>
      <w:r>
        <w:rPr>
          <w:rFonts w:ascii="Times New Roman" w:hAnsi="Times New Roman"/>
          <w:b w:val="false"/>
          <w:i w:val="false"/>
          <w:color w:val="000000"/>
          <w:sz w:val="22"/>
        </w:rPr>
        <w:t>Each water utility shall maintain for each meter and associated metering device the following applicable data.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identification.</w:t>
      </w:r>
    </w:p>
    <w:p>
      <w:pPr>
        <w:numPr>
          <w:ilvl w:val="0"/>
          <w:numId w:val="11"/>
        </w:numPr>
        <w:spacing w:before="0" w:after="0"/>
        <w:jc w:val="both"/>
      </w:pPr>
      <w:r>
        <w:rPr>
          <w:rFonts w:ascii="Times New Roman" w:hAnsi="Times New Roman"/>
          <w:b w:val="false"/>
          <w:i w:val="false"/>
          <w:color w:val="000000"/>
          <w:sz w:val="22"/>
        </w:rPr>
        <w:t>Manufacturer.</w:t>
      </w:r>
    </w:p>
    <w:p>
      <w:pPr>
        <w:numPr>
          <w:ilvl w:val="0"/>
          <w:numId w:val="11"/>
        </w:numPr>
        <w:spacing w:before="0" w:after="0"/>
        <w:jc w:val="both"/>
      </w:pPr>
      <w:r>
        <w:rPr>
          <w:rFonts w:ascii="Times New Roman" w:hAnsi="Times New Roman"/>
          <w:b w:val="false"/>
          <w:i w:val="false"/>
          <w:color w:val="000000"/>
          <w:sz w:val="22"/>
        </w:rPr>
        <w:t>Meter type, catalog number, and serial number.</w:t>
      </w:r>
    </w:p>
    <w:p>
      <w:pPr>
        <w:numPr>
          <w:ilvl w:val="0"/>
          <w:numId w:val="11"/>
        </w:numPr>
        <w:spacing w:before="0" w:after="0"/>
        <w:jc w:val="both"/>
      </w:pPr>
      <w:r>
        <w:rPr>
          <w:rFonts w:ascii="Times New Roman" w:hAnsi="Times New Roman"/>
          <w:b w:val="false"/>
          <w:i w:val="false"/>
          <w:color w:val="000000"/>
          <w:sz w:val="22"/>
        </w:rPr>
        <w:t>Meter capacity.</w:t>
      </w:r>
    </w:p>
    <w:p>
      <w:pPr>
        <w:numPr>
          <w:ilvl w:val="0"/>
          <w:numId w:val="11"/>
        </w:numPr>
        <w:spacing w:before="0" w:after="0"/>
        <w:jc w:val="both"/>
      </w:pPr>
      <w:r>
        <w:rPr>
          <w:rFonts w:ascii="Times New Roman" w:hAnsi="Times New Roman"/>
          <w:b w:val="false"/>
          <w:i w:val="false"/>
          <w:color w:val="000000"/>
          <w:sz w:val="22"/>
        </w:rPr>
        <w:t>Registration unit of measurement (gallons or cubic feet).</w:t>
      </w:r>
    </w:p>
    <w:p>
      <w:pPr>
        <w:numPr>
          <w:ilvl w:val="0"/>
          <w:numId w:val="11"/>
        </w:numPr>
        <w:spacing w:before="0" w:after="0"/>
        <w:jc w:val="both"/>
      </w:pPr>
      <w:r>
        <w:rPr>
          <w:rFonts w:ascii="Times New Roman" w:hAnsi="Times New Roman"/>
          <w:b w:val="false"/>
          <w:i w:val="false"/>
          <w:color w:val="000000"/>
          <w:sz w:val="22"/>
        </w:rPr>
        <w:t>Number of moving digits or dials on register.</w:t>
      </w:r>
    </w:p>
    <w:p>
      <w:pPr>
        <w:numPr>
          <w:ilvl w:val="0"/>
          <w:numId w:val="11"/>
        </w:numPr>
        <w:spacing w:before="0" w:after="0"/>
        <w:jc w:val="both"/>
      </w:pPr>
      <w:r>
        <w:rPr>
          <w:rFonts w:ascii="Times New Roman" w:hAnsi="Times New Roman"/>
          <w:b w:val="false"/>
          <w:i w:val="false"/>
          <w:color w:val="000000"/>
          <w:sz w:val="22"/>
        </w:rPr>
        <w:t>Number of fixed zeros on register.</w:t>
      </w:r>
    </w:p>
    <w:p>
      <w:pPr>
        <w:numPr>
          <w:ilvl w:val="0"/>
          <w:numId w:val="11"/>
        </w:numPr>
        <w:spacing w:before="0" w:after="0"/>
        <w:jc w:val="both"/>
      </w:pPr>
      <w:r>
        <w:rPr>
          <w:rFonts w:ascii="Times New Roman" w:hAnsi="Times New Roman"/>
          <w:b w:val="false"/>
          <w:i w:val="false"/>
          <w:color w:val="000000"/>
          <w:sz w:val="22"/>
        </w:rPr>
        <w:t>Pressure rating of the meter.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location history.</w:t>
      </w:r>
    </w:p>
    <w:p>
      <w:pPr>
        <w:numPr>
          <w:ilvl w:val="0"/>
          <w:numId w:val="12"/>
        </w:numPr>
        <w:spacing w:before="0" w:after="0"/>
        <w:jc w:val="both"/>
      </w:pPr>
      <w:r>
        <w:rPr>
          <w:rFonts w:ascii="Times New Roman" w:hAnsi="Times New Roman"/>
          <w:b w:val="false"/>
          <w:i w:val="false"/>
          <w:color w:val="000000"/>
          <w:sz w:val="22"/>
        </w:rPr>
        <w:t>Dates of installation and removal from service.</w:t>
      </w:r>
    </w:p>
    <w:p>
      <w:pPr>
        <w:numPr>
          <w:ilvl w:val="0"/>
          <w:numId w:val="12"/>
        </w:numPr>
        <w:spacing w:before="0" w:after="0"/>
        <w:jc w:val="both"/>
      </w:pPr>
      <w:r>
        <w:rPr>
          <w:rFonts w:ascii="Times New Roman" w:hAnsi="Times New Roman"/>
          <w:b w:val="false"/>
          <w:i w:val="false"/>
          <w:color w:val="000000"/>
          <w:sz w:val="22"/>
        </w:rPr>
        <w:t>Location of installations.</w:t>
      </w:r>
    </w:p>
    <w:p>
      <w:pPr>
        <w:numPr>
          <w:ilvl w:val="0"/>
          <w:numId w:val="12"/>
        </w:numPr>
        <w:spacing w:before="0" w:after="0"/>
        <w:jc w:val="both"/>
      </w:pP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shall be maintained identical to readings of the meter register.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shall have a readable meter register at the meter.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Water meter readings.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Water meter reading interval. Reading of all meters used for determining charges to customers shall be scheduled at least quarterly. An effort shall be made to read meters on corresponding days of each meter reading period. The meter reading date may be advanced or postponed no more than ten days without adjustment of the billing for the period.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water meter reading. The utility may permit the customer to supply the meter readings on a form supplied by the utility or, in the alternative, may permit the customer to supply the meter reading information by telephone, or electronically, provided a utility representative reads the meter at least once every 12 months and when there is a change of customer.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Readings and estimates in unusual situations. When a customer is connected or disconnected, or the regular meter reading date is substantially revised causing a given billing period to be longer or shorter than usual, the bill shall be prorated on a daily basis.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shall more than three consecutive estimated bills be rendered.</w:t>
      </w:r>
    </w:p>
    <w:p>
      <w:pPr>
        <w:spacing w:before="0" w:after="0"/>
        <w:ind w:left="120"/>
        <w:jc w:val="both"/>
      </w:pP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 xml:space="preserve">A copy of the utility’s current rules, if any, published or furnished by the utility for the use of engineers, architects, plumbing contractors, etc., covering meter and service installation shall be filed with the commission. </w:t>
      </w:r>
    </w:p>
    <w:p>
      <w:pPr>
        <w:spacing w:before="0" w:after="0"/>
        <w:ind w:left="120"/>
        <w:jc w:val="both"/>
      </w:pP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used in this subrule:</w:t>
      </w:r>
    </w:p>
    <w:p>
      <w:pPr>
        <w:spacing w:before="0" w:after="0"/>
        <w:ind w:left="120"/>
        <w:jc w:val="both"/>
      </w:pP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shall include a grossed-up amount for the income tax effect of such revenue.</w:t>
      </w:r>
    </w:p>
    <w:p>
      <w:pPr>
        <w:spacing w:before="0" w:after="0"/>
        <w:ind w:left="120"/>
        <w:jc w:val="both"/>
      </w:pP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shall be grossed-up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means a separate record established and maintained by the utility, which includes by depositor, the amount of advance for construction provided by the customer, whether the advance is by cash or surety bond or equivalent surety, and if by surety bond, all relevant information concerning the bond or equivalent surety, the amount of refund, if any, to which the depositor is entitled, the amount of refund, if any, which has been made to the customer, the amount unrefunded, and the construction project on which or work order pursuant to which the extension was installed.</w:t>
      </w:r>
    </w:p>
    <w:p>
      <w:pPr>
        <w:spacing w:before="0" w:after="0"/>
        <w:ind w:left="120"/>
        <w:jc w:val="both"/>
      </w:pP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means an estimated calculation of annual revenue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means an estimated calculation of construction costs using average costs in accordance with good engineering practices and based upon the following factors: amount of service required or desired by the customer requesting the extension; size, location and characteristics of the extension, including all appurtenances; and whether or not the ground is frozen or whether other adverse conditions exist. The average cost per foot shall be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shall estimated construction costs include costs associated with facilities built for the convenience of the utility.</w:t>
      </w:r>
    </w:p>
    <w:p>
      <w:pPr>
        <w:spacing w:before="0" w:after="0"/>
        <w:ind w:left="120"/>
        <w:jc w:val="both"/>
      </w:pPr>
      <w:r>
        <w:rPr>
          <w:rFonts w:ascii="Times New Roman" w:hAnsi="Times New Roman"/>
          <w:b w:val="false"/>
          <w:i/>
          <w:color w:val="000000"/>
          <w:sz w:val="22"/>
        </w:rPr>
        <w:t xml:space="preserve">“Extensions” </w:t>
      </w:r>
      <w:r>
        <w:rPr>
          <w:rFonts w:ascii="Times New Roman" w:hAnsi="Times New Roman"/>
          <w:b w:val="false"/>
          <w:i w:val="false"/>
          <w:color w:val="000000"/>
          <w:sz w:val="22"/>
        </w:rPr>
        <w:t>means a distribution main extension.</w:t>
      </w:r>
    </w:p>
    <w:p>
      <w:pPr>
        <w:spacing w:before="0" w:after="0"/>
        <w:ind w:left="120"/>
        <w:jc w:val="both"/>
      </w:pP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provide all water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shall require, no more than 30 days prior to commencement of construction, the customer or developer to advance funds which are subject to refund as additional customers are attached. A contract between the utility and the customer which requires an advance by the customer to make plant additions shall be available for commission inspection.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customer will attach within 30 days after completion of the distribution main extension, the following shall apply:</w:t>
      </w:r>
    </w:p>
    <w:p>
      <w:pPr>
        <w:numPr>
          <w:ilvl w:val="0"/>
          <w:numId w:val="13"/>
        </w:numPr>
        <w:spacing w:before="0" w:after="0"/>
        <w:jc w:val="both"/>
      </w:pPr>
      <w:r>
        <w:rPr>
          <w:rFonts w:ascii="Times New Roman" w:hAnsi="Times New Roman"/>
          <w:b w:val="false"/>
          <w:i w:val="false"/>
          <w:color w:val="000000"/>
          <w:sz w:val="22"/>
        </w:rPr>
        <w:t>If the estimated construction cost to provide a distribution main extension is less than or equal to five times the estimated annual revenue calculated on the basis of similarly situated customers, the utility shall finance and make the extension without requiring an advance for construction.</w:t>
      </w:r>
    </w:p>
    <w:p>
      <w:pPr>
        <w:numPr>
          <w:ilvl w:val="0"/>
          <w:numId w:val="13"/>
        </w:numPr>
        <w:spacing w:before="0" w:after="0"/>
        <w:jc w:val="both"/>
      </w:pPr>
      <w:r>
        <w:rPr>
          <w:rFonts w:ascii="Times New Roman" w:hAnsi="Times New Roman"/>
          <w:b w:val="false"/>
          <w:i w:val="false"/>
          <w:color w:val="000000"/>
          <w:sz w:val="22"/>
        </w:rPr>
        <w:t>If the estimated construction cost to provide a distribution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customer will not attach within the agreed-upon attachment period after completion of the distribution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shall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shall provide the utility a cash deposit equal to the amount of the surety bond, less refunds accumulated during the bonded period, plus the surcharge, or the depositor may pay the interest on the previous year’s bond and rebond the balance due to the utility for a second or third one-year period. Upon receipt of such cash deposit, the utility shall release the surety bond. The cash deposit, less the surcharge, shall be subject to refund by the utility for the remainder of the ten-year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shall refund to the depositor for a period of ten years from the date of the original advance, a pro-rata share for each service attachment to the distribution main extension. The pro-rata refund shall be computed in the following manner: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exceeds the total estimated construction cost to provide the extension, the entire amount of the advance provided by the depositor shall be refunded to the depositor.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is less than the total estimated construction cost to provide the extension, the amount to be refunded to the depositor shall equal five times the estimated annual revenue of the customer attaching to the extension.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no event shall the total amount to be refunded to a depositor exceed the amount of the advance for construction made by the depositor. Any amounts subject to refund shall be paid by the utility without interest. At the expiration of the above-described ten-year period, the customer advance for construction record shall be closed and the remaining balance shall be credited to the respective plant account.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extensions as described in this subrule unless the extension shall be of a permanent nature.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Subrule 21.3(5) shall not be construed as prohibiting any utility from making a contract with a customer in a different manner, if the contract provides a more favorable method of extension to the customer, so long as no discrimination is practiced among customers or depositors.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Subrule 21.3(5) shall not be construed as prohibiting an individual, partnership, or company from constructing its own extension. An extension constructed by a nonutility entity must meet at a minimum the applicable portions of the standards in subrules </w:t>
      </w:r>
      <w:hyperlink r:id="rId21">
        <w:r>
          <w:rPr>
            <w:rStyle w:val="Hyperlink"/>
            <w:rFonts w:ascii="Times New Roman" w:hAnsi="Times New Roman"/>
            <w:b w:val="false"/>
            <w:i w:val="false"/>
            <w:color w:val="000000"/>
            <w:sz w:val="22"/>
          </w:rPr>
          <w:t>21.5(1)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 xml:space="preserve"> and such other reasonable standards as the utility may employ in constructing extensions, so long as the standards do not mandate a particular supplier. All connections to the utility-owned equipment or facilities shall be made by the utility at the applicant’s expense. At the time of attachment to the utility-owned equipment or facilities, the applicant shall transfer ownership of the extension to the utility and the utility shall book the original cost of construction of the extension as an advance for construction, and refunds shall be made to the applicant in accordance with paragraph </w:t>
      </w:r>
      <w:hyperlink r:id="rId23">
        <w:r>
          <w:rPr>
            <w:rStyle w:val="Hyperlink"/>
            <w:rFonts w:ascii="Times New Roman" w:hAnsi="Times New Roman"/>
            <w:b w:val="false"/>
            <w:i w:val="false"/>
            <w:color w:val="000000"/>
            <w:sz w:val="22"/>
          </w:rPr>
          <w:t>21.3(5)</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utility shall be responsible for the operation and maintenance of the extension after attachment.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Water service connections. </w:t>
      </w:r>
      <w:r>
        <w:rPr>
          <w:rFonts w:ascii="Times New Roman" w:hAnsi="Times New Roman"/>
          <w:b w:val="false"/>
          <w:i w:val="false"/>
          <w:color w:val="000000"/>
          <w:sz w:val="22"/>
        </w:rPr>
        <w:t>The utility shall supervise the installation and maintenance of that portion of the water service pipe from its main to and including the customer’s meter. A curb stop shall be installed at a convenient place between the property line and the curb. All services shall include a curb stop and curb box or meter vault. In installations where meters are installed in meter vaults incorporating a built-in valve and are installed between the property line and curb, no separate curb stop and curb box is required.</w:t>
      </w:r>
    </w:p>
    <w:p>
      <w:pPr>
        <w:spacing w:before="0" w:after="0"/>
        <w:ind w:left="120"/>
        <w:jc w:val="both"/>
      </w:pP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the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out-of-doors shall be readily accessible for maintenance and reading, and so far as practicable the location should be mutually acceptable to the customer and the utility. The meter shall be installed so as to be unaffected by climatic conditions and reasonably secure from injury.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shall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water service. </w:t>
      </w:r>
    </w:p>
    <w:p>
      <w:pPr>
        <w:spacing w:before="0" w:after="0"/>
        <w:ind w:left="120"/>
        <w:jc w:val="both"/>
      </w:pP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up-to-date maps, plans, or records of its entire water system.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customers affected by a change in rates or rate classification as directed in the commission’s rules of practice and procedures.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Inquiries for information or complaints to a utility shall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which will enable the customer to reach that employee again if needed.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1-877-565-4450, by writing to 1375 E. Court Avenue, Des Moines, Iowa 50319-0069, or by email to </w:t>
      </w:r>
      <w:hyperlink r:id="rId2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bill insert or notice on the bill will be provided no less than annually. Any utility which does not use the standard statement described in this subrule shall file its proposed statement in its tariff for approval. A utility which bills by postcard may place an advertisement in a local newspaper of general circulation or a customer newsletter instead of a mailing. The advertisement must be of a type size that is easily legible and conspicuous and must contain the information set forth above.</w:t>
      </w:r>
    </w:p>
    <w:p>
      <w:pPr>
        <w:spacing w:before="0" w:after="0"/>
        <w:ind w:left="120"/>
        <w:jc w:val="both"/>
      </w:pP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No written notice is required to be given of a deposit required as a prerequisite for commencing initial service.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shall issue a receipt of deposit to each customer from whom a deposit is received.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utility to each customer required to make a deposit.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shall be refunded upon termination of the customer’s service.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25">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26">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shall bill each customer as promptly as possible following the reading of the customer’s meter. Each bill, including the customer’s receipt, shall show: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units metered when applicable.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applicable rates.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gross and net amount of the bill.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shall be considered rendered to the customer when deposited in the U.S. mail with postage prepaid. If delivery is by other than U.S. mail, the bill shall be considered rendered when delivered to the last-known address of the party responsible for payment. There shall be not less than 20 days between the rendering of a bill and the date by which the account becomes delinquent.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shall not exceed 1.5 percent per month of the past due amount.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w:t>
      </w:r>
      <w:hyperlink r:id="rId27">
        <w:r>
          <w:rPr>
            <w:rStyle w:val="Hyperlink"/>
            <w:rFonts w:ascii="Times New Roman" w:hAnsi="Times New Roman"/>
            <w:b w:val="false"/>
            <w:i w:val="false"/>
            <w:color w:val="000000"/>
            <w:sz w:val="22"/>
          </w:rPr>
          <w:t>21.4(6)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which are incorrect due to meter or billing errors are to be adjusted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a person no longer a customer of the utility, a notice shall be mailed to the last-known address.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w:t>
      </w:r>
      <w:hyperlink r:id="rId28">
        <w:r>
          <w:rPr>
            <w:rStyle w:val="Hyperlink"/>
            <w:rFonts w:ascii="Times New Roman" w:hAnsi="Times New Roman"/>
            <w:b w:val="false"/>
            <w:i w:val="false"/>
            <w:color w:val="000000"/>
            <w:sz w:val="22"/>
          </w:rPr>
          <w:t>21.4(6)</w:t>
        </w:r>
        <w:r>
          <w:rPr>
            <w:rFonts w:ascii="Times New Roman" w:hAnsi="Times New Roman"/>
            <w:b w:val="false"/>
            <w:i/>
            <w:color w:val="000000"/>
            <w:sz w:val="22"/>
          </w:rPr>
          <w:t>“a”</w:t>
        </w:r>
      </w:hyperlink>
      <w:r>
        <w:rPr>
          <w:rFonts w:ascii="Times New Roman" w:hAnsi="Times New Roman"/>
          <w:b w:val="false"/>
          <w:i w:val="false"/>
          <w:color w:val="000000"/>
          <w:sz w:val="22"/>
        </w:rPr>
        <w:t xml:space="preserve"> unless otherwise ordered by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shall not exceed five years unless otherwise ordered by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shall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Service may be refused or discontinued only for the reasons listed in paragraphs </w:t>
      </w:r>
      <w:hyperlink r:id="rId29">
        <w:r>
          <w:rPr>
            <w:rStyle w:val="Hyperlink"/>
            <w:rFonts w:ascii="Times New Roman" w:hAnsi="Times New Roman"/>
            <w:b w:val="false"/>
            <w:i w:val="false"/>
            <w:color w:val="000000"/>
            <w:sz w:val="22"/>
          </w:rPr>
          <w:t>21.4(7)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below. Unless otherwise stated, the customer shall be permitted at least 12 days, excluding Sundays and legal holidays, following mailing of notice of disconnect in which to take necessary action before service is discontinued. When a person is refused service, the utility shall notify the person promptly of the reason for the refusal to serve and of the person’s right to file a complaint about the utility’s decision with the commission.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Without notice in the event of an emergency.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Without notice in the event of tampering with the equipment furnished and owned by the utility or obtaining water by fraudulent means.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violation of or noncompliance with the utility’s rules on file with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failure of the customer to permit the utility reasonable access to its equipment.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nonpayment of bill, provided that the utility has: (1) made a reasonable attempt to effect collection; (2) given the customer written notice that the customer has at least 12 days, excluding Sundays and legal holidays, in which to make settlement of the account; and (3) given the customer the written statement of the customer’s rights and responsibilities to avoid a shutoff, as required by </w:t>
      </w:r>
      <w:hyperlink r:id="rId30">
        <w:r>
          <w:rPr>
            <w:rStyle w:val="Hyperlink"/>
            <w:rFonts w:ascii="Times New Roman" w:hAnsi="Times New Roman"/>
            <w:b w:val="false"/>
            <w:i w:val="false"/>
            <w:color w:val="000000"/>
            <w:sz w:val="22"/>
          </w:rPr>
          <w:t>subrule 21.4(8)</w:t>
        </w:r>
      </w:hyperlink>
      <w:r>
        <w:rPr>
          <w:rFonts w:ascii="Times New Roman" w:hAnsi="Times New Roman"/>
          <w:b w:val="false"/>
          <w:i w:val="false"/>
          <w:color w:val="000000"/>
          <w:sz w:val="22"/>
        </w:rPr>
        <w:t>. In the event there is dispute concerning a bill, the utility may require the customer to pay a sum of money equal to the amount of the undisputed portion of the bill pending settlement and thereby avoid discontinuance of service for nonpayment of the disputed bill for up to 45 days after the rendering of the bill. The 45 days shall be extended by up to 60 days if requested of the utility by the commission in the event the customer files a written complaint with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failure to pay a debt owed to a city utility, city enterprise, combined city utility, or combined city enterprise for wastewater service or services of sewer systems, storm water drainage systems, or sewage treatment. Disconnection of water service pursuant to this paragraph shall only be allowed if the governing body of a city utility, city enterprise, combined city utility, or combined city enterprise has entered into a written agreement with the utility that includes provisions: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Requiring that a notice of disconnection of water service for failure to pay a debt owed to the city utility, city enterprise, combined city utility, or combined city enterprise for wastewater service or services of sewer systems, storm water drainage systems, or sewage treatment be made by the utility and allow the customer 12 days, excluding Sundays and legal holidays, after the mailing of the notice to take necessary action to satisfy the debt.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for prompt notice from the city utility, city enterprise, combined city utility, or combined city enterprise to the utility that the debt for wastewater service or services of sewer systems, storm water drainage systems, or sewage treatment has been satisfied and providing that, once notified of the payment of the debt, the utility shall reconnect water service to the customer as provided for in the utility’s tariff.</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Requiring the city utility, city enterprise, combined city utility, or combined city enterprise, prior to contacting the utility for disconnection of water service to a customer, to have completed the disconnection notification procedures established in the tariffs or ordinances of the city utility, city enterprise, combined city utility, or combined city enterprise.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Providing that the customer may be charged a fee for disconnection and reconnection of water service by the utility for failure of the customer to pay a debt owed to the city utility, city enterprise, combined city utility, or combined city enterprise for wastewater service or services of sewer systems, storm water drainage systems, or sewage treatment, that the fee be no greater than the rates or charges established for reconnection and disconnection of water service in the utility’s tariffs approved by the commission, and that recovery of lost revenue by the utility as a result of disconnection of water service pursuant to this paragraph is not authorized under these rules.</w:t>
      </w:r>
    </w:p>
    <w:p>
      <w:pPr>
        <w:spacing w:before="0" w:after="0"/>
        <w:ind w:left="120"/>
        <w:jc w:val="both"/>
      </w:pP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Statement of customer rights and responsibilities. </w:t>
      </w:r>
      <w:r>
        <w:rPr>
          <w:rFonts w:ascii="Times New Roman" w:hAnsi="Times New Roman"/>
          <w:b w:val="false"/>
          <w:i w:val="false"/>
          <w:color w:val="000000"/>
          <w:sz w:val="22"/>
        </w:rPr>
        <w:t xml:space="preserve">In addition to providing the written notice of disconnect required by </w:t>
      </w:r>
      <w:hyperlink r:id="rId31">
        <w:r>
          <w:rPr>
            <w:rStyle w:val="Hyperlink"/>
            <w:rFonts w:ascii="Times New Roman" w:hAnsi="Times New Roman"/>
            <w:b w:val="false"/>
            <w:i w:val="false"/>
            <w:color w:val="000000"/>
            <w:sz w:val="22"/>
          </w:rPr>
          <w:t>subrule 21.4(7)</w:t>
        </w:r>
      </w:hyperlink>
      <w:r>
        <w:rPr>
          <w:rFonts w:ascii="Times New Roman" w:hAnsi="Times New Roman"/>
          <w:b w:val="false"/>
          <w:i w:val="false"/>
          <w:color w:val="000000"/>
          <w:sz w:val="22"/>
        </w:rPr>
        <w:t>, a utility shall, prior to refusing water service due to nonpayment of a bill, provide the customer a written statement of rights and responsibilities to avoid shutoff. Any utility which does not use the standard form set forth below shall electronically submit its proposed form to the commission for approval. A utility which is preparing to disconnect water service due to nonpayment of a bill for sanitary sewage disposal service or storm water drainage service shall replace the words “water service” in the form below with the words “sanitary sewage disposal service” or “storm water drainage service” as appropriate. The utility shall provide the customer with the written statement of customer rights and responsibilities at the same time it provides the customer the written notice of disconnect.</w:t>
      </w:r>
    </w:p>
    <w:p>
      <w:pPr>
        <w:spacing w:before="0" w:after="0"/>
        <w:ind w:left="120"/>
        <w:jc w:val="center"/>
      </w:pPr>
      <w:r>
        <w:rPr>
          <w:rFonts w:ascii="Times New Roman" w:hAnsi="Times New Roman"/>
          <w:b/>
          <w:i w:val="false"/>
          <w:color w:val="000000"/>
          <w:sz w:val="22"/>
        </w:rPr>
        <w:t>CUSTOMER RIGHTS AND RESPONSIBILITIES TO AVOID SHUTOFF OF WATER SERVICE FOR NONPAYMENT</w:t>
      </w:r>
    </w:p>
    <w:p>
      <w:pPr>
        <w:spacing w:before="0" w:after="0"/>
        <w:ind w:left="120"/>
        <w:jc w:val="both"/>
      </w:pPr>
      <w:r>
        <w:rPr>
          <w:rFonts w:ascii="Times New Roman" w:hAnsi="Times New Roman"/>
          <w:b/>
          <w:i w:val="false"/>
          <w:color w:val="000000"/>
          <w:sz w:val="22"/>
        </w:rPr>
        <w:t>1. What can I do if I receive a notice from the utility that says my water service will be shut off because I have a past due bill?</w:t>
      </w:r>
    </w:p>
    <w:p>
      <w:pPr>
        <w:spacing w:before="0" w:after="0"/>
        <w:ind w:left="120"/>
        <w:jc w:val="both"/>
      </w:pPr>
      <w:r>
        <w:rPr>
          <w:rFonts w:ascii="Times New Roman" w:hAnsi="Times New Roman"/>
          <w:b w:val="false"/>
          <w:i w:val="false"/>
          <w:color w:val="000000"/>
          <w:sz w:val="22"/>
        </w:rPr>
        <w:t>a. Pay the bill in full; or</w:t>
      </w:r>
    </w:p>
    <w:p>
      <w:pPr>
        <w:spacing w:before="0" w:after="0"/>
        <w:ind w:left="120"/>
        <w:jc w:val="both"/>
      </w:pPr>
      <w:r>
        <w:rPr>
          <w:rFonts w:ascii="Times New Roman" w:hAnsi="Times New Roman"/>
          <w:b w:val="false"/>
          <w:i w:val="false"/>
          <w:color w:val="000000"/>
          <w:sz w:val="22"/>
        </w:rPr>
        <w:t>b. Tell the utility if you think part of the amount shown on the bill is wrong. However, you must still pay the part of the bill you agree you owe the utility (see #2 below).</w:t>
      </w:r>
    </w:p>
    <w:p>
      <w:pPr>
        <w:spacing w:before="0" w:after="0"/>
        <w:ind w:left="120"/>
        <w:jc w:val="both"/>
      </w:pPr>
      <w:r>
        <w:rPr>
          <w:rFonts w:ascii="Times New Roman" w:hAnsi="Times New Roman"/>
          <w:b/>
          <w:i w:val="false"/>
          <w:color w:val="000000"/>
          <w:sz w:val="22"/>
        </w:rPr>
        <w:t>2.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#6 below.)</w:t>
      </w:r>
    </w:p>
    <w:p>
      <w:pPr>
        <w:spacing w:before="0" w:after="0"/>
        <w:ind w:left="120"/>
        <w:jc w:val="both"/>
      </w:pPr>
      <w:r>
        <w:rPr>
          <w:rFonts w:ascii="Times New Roman" w:hAnsi="Times New Roman"/>
          <w:b/>
          <w:i w:val="false"/>
          <w:color w:val="000000"/>
          <w:sz w:val="22"/>
        </w:rPr>
        <w:t>3. When can the utility shut off my utility service because I have not paid my bill?</w:t>
      </w:r>
    </w:p>
    <w:p>
      <w:pPr>
        <w:spacing w:before="0" w:after="0"/>
        <w:ind w:left="120"/>
        <w:jc w:val="both"/>
      </w:pPr>
      <w:r>
        <w:rPr>
          <w:rFonts w:ascii="Times New Roman" w:hAnsi="Times New Roman"/>
          <w:b w:val="false"/>
          <w:i w:val="false"/>
          <w:color w:val="000000"/>
          <w:sz w:val="22"/>
        </w:rPr>
        <w:t>The utility will not shut off your service for up to 45 days from the rendering of the bill if you have notified the utility that you dispute a portion of your bill and you pay the part of the bill that you agree is correct. The 45 days will be extended by up to 60 days if requested of the utility by the Utilities Commission in the event you file a written complaint with the Utilities Commission.</w:t>
      </w:r>
    </w:p>
    <w:p>
      <w:pPr>
        <w:spacing w:before="0" w:after="0"/>
        <w:ind w:left="120"/>
        <w:jc w:val="both"/>
      </w:pPr>
      <w:r>
        <w:rPr>
          <w:rFonts w:ascii="Times New Roman" w:hAnsi="Times New Roman"/>
          <w:b/>
          <w:i w:val="false"/>
          <w:color w:val="000000"/>
          <w:sz w:val="22"/>
        </w:rPr>
        <w:t>4. How will I be told the utility is going to shut off my service?</w:t>
      </w:r>
    </w:p>
    <w:p>
      <w:pPr>
        <w:spacing w:before="0" w:after="0"/>
        <w:ind w:left="120"/>
        <w:jc w:val="both"/>
      </w:pPr>
      <w:r>
        <w:rPr>
          <w:rFonts w:ascii="Times New Roman" w:hAnsi="Times New Roman"/>
          <w:b w:val="false"/>
          <w:i w:val="false"/>
          <w:color w:val="000000"/>
          <w:sz w:val="22"/>
        </w:rPr>
        <w:t>You must be given a written notice at least 12 days before the utility service can be shut off for nonpayment. The 12-day period does not include Sundays and legal holidays.</w:t>
      </w:r>
    </w:p>
    <w:p>
      <w:pPr>
        <w:spacing w:before="0" w:after="0"/>
        <w:ind w:left="120"/>
        <w:jc w:val="both"/>
      </w:pPr>
      <w:r>
        <w:rPr>
          <w:rFonts w:ascii="Times New Roman" w:hAnsi="Times New Roman"/>
          <w:b/>
          <w:i w:val="false"/>
          <w:color w:val="000000"/>
          <w:sz w:val="22"/>
        </w:rPr>
        <w:t>5. If service is shut off, when will it be turned back on?</w:t>
      </w:r>
    </w:p>
    <w:p>
      <w:pPr>
        <w:spacing w:before="0" w:after="0"/>
        <w:ind w:left="120"/>
        <w:jc w:val="both"/>
      </w:pPr>
      <w:r>
        <w:rPr>
          <w:rFonts w:ascii="Times New Roman" w:hAnsi="Times New Roman"/>
          <w:b w:val="false"/>
          <w:i w:val="false"/>
          <w:color w:val="000000"/>
          <w:sz w:val="22"/>
        </w:rPr>
        <w:t>a. The utility must turn your service back on promptly if you pay the whole amount you owe or, in the event that you dispute a portion of the bill, if you pay the portion of the bill that is not under dispute (see #2 above).</w:t>
      </w:r>
    </w:p>
    <w:p>
      <w:pPr>
        <w:spacing w:before="0" w:after="0"/>
        <w:ind w:left="120"/>
        <w:jc w:val="both"/>
      </w:pPr>
      <w:r>
        <w:rPr>
          <w:rFonts w:ascii="Times New Roman" w:hAnsi="Times New Roman"/>
          <w:b w:val="false"/>
          <w:i w:val="false"/>
          <w:color w:val="000000"/>
          <w:sz w:val="22"/>
        </w:rPr>
        <w:t>b.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6.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Avenue, Des Moines, Iowa 50319-0069, or by email at </w:t>
      </w:r>
      <w:hyperlink r:id="rId3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1-800-532-1275.</w:t>
      </w:r>
    </w:p>
    <w:p>
      <w:pPr>
        <w:spacing w:before="0" w:after="0"/>
        <w:ind w:left="120"/>
        <w:jc w:val="both"/>
      </w:pP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service where the cause of discontinuance has been corrected, the utility shall promptly restore service to the customer. The utility may make a reasonable charge applied uniformly for reconnection of service.</w:t>
      </w:r>
    </w:p>
    <w:p>
      <w:pPr>
        <w:spacing w:before="0" w:after="0"/>
        <w:ind w:left="120"/>
        <w:jc w:val="both"/>
      </w:pP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present or prospective customer: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the bill of another customer as guarantor thereof.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Failure to pay for a different type or class of utility service, except sanitary sewage disposal service or storm water drainage service. Disconnection of water service pursuant to the provisions of paragraph </w:t>
      </w:r>
      <w:hyperlink r:id="rId33">
        <w:r>
          <w:rPr>
            <w:rStyle w:val="Hyperlink"/>
            <w:rFonts w:ascii="Times New Roman" w:hAnsi="Times New Roman"/>
            <w:b w:val="false"/>
            <w:i w:val="false"/>
            <w:color w:val="000000"/>
            <w:sz w:val="22"/>
          </w:rPr>
          <w:t>21.4(7)</w:t>
        </w:r>
        <w:r>
          <w:rPr>
            <w:rFonts w:ascii="Times New Roman" w:hAnsi="Times New Roman"/>
            <w:b w:val="false"/>
            <w:i/>
            <w:color w:val="000000"/>
            <w:sz w:val="22"/>
          </w:rPr>
          <w:t>“f”</w:t>
        </w:r>
      </w:hyperlink>
      <w:r>
        <w:rPr>
          <w:rFonts w:ascii="Times New Roman" w:hAnsi="Times New Roman"/>
          <w:b w:val="false"/>
          <w:i w:val="false"/>
          <w:color w:val="000000"/>
          <w:sz w:val="22"/>
        </w:rPr>
        <w:t xml:space="preserve"> is not considered a different type or class of public utility service for purposes of subrule </w:t>
      </w:r>
      <w:hyperlink r:id="rId34">
        <w:r>
          <w:rPr>
            <w:rStyle w:val="Hyperlink"/>
            <w:rFonts w:ascii="Times New Roman" w:hAnsi="Times New Roman"/>
            <w:b w:val="false"/>
            <w:i w:val="false"/>
            <w:color w:val="000000"/>
            <w:sz w:val="22"/>
          </w:rPr>
          <w:t>21.4(10)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A “complaint” shall mean any objection to the charge, facilities, or quality of service of a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 investigate promptly and thoroughly and keep a record of all complaints received from its customers that will enable it to review its procedures and actions. The record shall show the name and address of the complainant, the date and nature of the complaint, and its disposition and the date resolved.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record of the original complaint shall be kept for a period of three years after final settlement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1959C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water service. </w:t>
      </w:r>
    </w:p>
    <w:p>
      <w:pPr>
        <w:spacing w:before="0" w:after="0"/>
        <w:ind w:left="120"/>
        <w:jc w:val="both"/>
      </w:pP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distribution system shall conform to good standard engineering practice.</w:t>
      </w:r>
    </w:p>
    <w:p>
      <w:pPr>
        <w:spacing w:before="0" w:after="0"/>
        <w:ind w:left="120"/>
        <w:jc w:val="both"/>
      </w:pP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distribution system in order to determine the necessity for replacement and repair. The frequency of the various inspections shall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water service. </w:t>
      </w:r>
    </w:p>
    <w:p>
      <w:pPr>
        <w:spacing w:before="0" w:after="0"/>
        <w:ind w:left="120"/>
        <w:jc w:val="both"/>
      </w:pP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Periodic and routine tests. </w:t>
      </w:r>
      <w:r>
        <w:rPr>
          <w:rFonts w:ascii="Times New Roman" w:hAnsi="Times New Roman"/>
          <w:b w:val="false"/>
          <w:i w:val="false"/>
          <w:color w:val="000000"/>
          <w:sz w:val="22"/>
        </w:rPr>
        <w:t>Each utility shall adopt schedules approved by the commission for periodic and routine tests and repair of its meters.</w:t>
      </w:r>
    </w:p>
    <w:p>
      <w:pPr>
        <w:spacing w:before="0" w:after="0"/>
        <w:ind w:left="120"/>
        <w:jc w:val="both"/>
      </w:pP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Meter test facilities and equipment. </w:t>
      </w:r>
      <w:r>
        <w:rPr>
          <w:rFonts w:ascii="Times New Roman" w:hAnsi="Times New Roman"/>
          <w:b w:val="false"/>
          <w:i w:val="false"/>
          <w:color w:val="000000"/>
          <w:sz w:val="22"/>
        </w:rPr>
        <w:t>Each utility furnishing metered service shall provide the necessary standard facilities, instruments, and other equipment for testing its meters, or contract for test of its meters by another utility or agency equipped to test meters subject to approval by the commission.</w:t>
      </w:r>
    </w:p>
    <w:p>
      <w:pPr>
        <w:spacing w:before="0" w:after="0"/>
        <w:ind w:left="120"/>
        <w:jc w:val="both"/>
      </w:pP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Accuracy requirements. </w:t>
      </w:r>
      <w:r>
        <w:rPr>
          <w:rFonts w:ascii="Times New Roman" w:hAnsi="Times New Roman"/>
          <w:b w:val="false"/>
          <w:i w:val="false"/>
          <w:color w:val="000000"/>
          <w:sz w:val="22"/>
        </w:rPr>
        <w:t>All meters shall be in good mechanical condition. All meters shall be accurate to the following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Test flow limits. </w:t>
      </w:r>
      <w:r>
        <w:rPr>
          <w:rFonts w:ascii="Times New Roman" w:hAnsi="Times New Roman"/>
          <w:b w:val="false"/>
          <w:i w:val="false"/>
          <w:color w:val="000000"/>
          <w:sz w:val="22"/>
        </w:rPr>
        <w:t>For determination of minimum test flow and normal test flow limits, the utility shall use as a guide the appropriate standard specifications of the American Water Works Association for the various types of meters.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Accuracy limits. </w:t>
      </w:r>
      <w:r>
        <w:rPr>
          <w:rFonts w:ascii="Times New Roman" w:hAnsi="Times New Roman"/>
          <w:b w:val="false"/>
          <w:i w:val="false"/>
          <w:color w:val="000000"/>
          <w:sz w:val="22"/>
        </w:rPr>
        <w:t>A meter shall not be placed in service if it registers less than 95 percent of the volume passed through it at the minimum test flow, or overregisters or underregisters more than 1.5 percent at the intermediate or maximum limit.</w:t>
      </w:r>
    </w:p>
    <w:p>
      <w:pPr>
        <w:spacing w:before="0" w:after="0"/>
        <w:ind w:left="120"/>
        <w:jc w:val="both"/>
      </w:pP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Initial test and storage of meters. </w:t>
      </w:r>
      <w:r>
        <w:rPr>
          <w:rFonts w:ascii="Times New Roman" w:hAnsi="Times New Roman"/>
          <w:b w:val="false"/>
          <w:i w:val="false"/>
          <w:color w:val="000000"/>
          <w:sz w:val="22"/>
        </w:rPr>
        <w:t>Every meter shall be tested prior to its installation either by the manufacturer, the utility, or an organization equipped for meter testing.</w:t>
      </w:r>
    </w:p>
    <w:p>
      <w:pPr>
        <w:spacing w:before="0" w:after="0"/>
        <w:ind w:left="120"/>
        <w:jc w:val="both"/>
      </w:pPr>
      <w:r>
        <w:rPr>
          <w:rFonts w:ascii="Times New Roman" w:hAnsi="Times New Roman"/>
          <w:b w:val="false"/>
          <w:i w:val="false"/>
          <w:color w:val="000000"/>
          <w:sz w:val="22"/>
        </w:rPr>
        <w:t>If a meter is not stored as recommended by the manufacturer, the meter shall be tested immediately before installation.</w:t>
      </w:r>
    </w:p>
    <w:p>
      <w:pPr>
        <w:spacing w:before="0" w:after="0"/>
        <w:ind w:left="120"/>
        <w:jc w:val="both"/>
      </w:pP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As found tests. </w:t>
      </w:r>
      <w:r>
        <w:rPr>
          <w:rFonts w:ascii="Times New Roman" w:hAnsi="Times New Roman"/>
          <w:b w:val="false"/>
          <w:i w:val="false"/>
          <w:color w:val="000000"/>
          <w:sz w:val="22"/>
        </w:rPr>
        <w:t>To determine the average meter error in accordance with these rules for periodic or complaint tests, meters shall be tested in the condition as found in the customer’s service. Tests shall be made at intermediate and maximum rates of flow, and the meter error shall be the algebraic average of the errors of the two tests.</w:t>
      </w:r>
    </w:p>
    <w:p>
      <w:pPr>
        <w:spacing w:before="0" w:after="0"/>
        <w:ind w:left="120"/>
        <w:jc w:val="both"/>
      </w:pP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A utility shall test any meter upon written request of a customer. The utility will not be required to perform request tests more than once each 18 months. The customer shall be given the opportunity to be present at the request tests.</w:t>
      </w:r>
    </w:p>
    <w:p>
      <w:pPr>
        <w:spacing w:before="0" w:after="0"/>
        <w:ind w:left="120"/>
        <w:jc w:val="both"/>
      </w:pP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color w:val="000000"/>
          <w:sz w:val="22"/>
        </w:rPr>
        <w:t xml:space="preserve"> Commission-ordered tests. </w:t>
      </w:r>
      <w:r>
        <w:rPr>
          <w:rFonts w:ascii="Times New Roman" w:hAnsi="Times New Roman"/>
          <w:b w:val="false"/>
          <w:i w:val="false"/>
          <w:color w:val="000000"/>
          <w:sz w:val="22"/>
        </w:rPr>
        <w:t xml:space="preserve">The commission shall order tests of meters as follows: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Application. </w:t>
      </w:r>
      <w:r>
        <w:rPr>
          <w:rFonts w:ascii="Times New Roman" w:hAnsi="Times New Roman"/>
          <w:b w:val="false"/>
          <w:i w:val="false"/>
          <w:color w:val="000000"/>
          <w:sz w:val="22"/>
        </w:rPr>
        <w:t>Upon written application to the commission by a customer or a utility, a test shall be made of the customer’s meter as soon as practicable.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Guarantee. </w:t>
      </w:r>
      <w:r>
        <w:rPr>
          <w:rFonts w:ascii="Times New Roman" w:hAnsi="Times New Roman"/>
          <w:b w:val="false"/>
          <w:i w:val="false"/>
          <w:color w:val="000000"/>
          <w:sz w:val="22"/>
        </w:rPr>
        <w:t>The application shall be sent by certified or registered mail and accompanied by a certified check or money order made payable to the utility in the amount indicated below:</w:t>
      </w:r>
    </w:p>
    <w:p>
      <w:pPr>
        <w:spacing w:before="0" w:after="0"/>
        <w:ind w:left="120"/>
        <w:jc w:val="both"/>
      </w:pPr>
      <w:r>
        <w:rPr>
          <w:rFonts w:ascii="Times New Roman" w:hAnsi="Times New Roman"/>
          <w:b w:val="false"/>
          <w:i w:val="false"/>
          <w:color w:val="000000"/>
          <w:sz w:val="22"/>
        </w:rPr>
        <w:t>(1) Capacity of 80 gallons per minute or less</w:t>
      </w:r>
      <w:r>
        <w:rPr>
          <w:rFonts w:ascii="Times New Roman" w:hAnsi="Times New Roman"/>
          <w:b w:val="false"/>
          <w:i w:val="false"/>
          <w:color w:val="000000"/>
          <w:sz w:val="22"/>
        </w:rPr>
        <w:t>$24</w:t>
      </w:r>
    </w:p>
    <w:p>
      <w:pPr>
        <w:spacing w:before="0" w:after="0"/>
        <w:ind w:left="120"/>
        <w:jc w:val="both"/>
      </w:pPr>
      <w:r>
        <w:rPr>
          <w:rFonts w:ascii="Times New Roman" w:hAnsi="Times New Roman"/>
          <w:b w:val="false"/>
          <w:i w:val="false"/>
          <w:color w:val="000000"/>
          <w:sz w:val="22"/>
        </w:rPr>
        <w:t>(2) Capacity over 80 gallons, up to 120 gallons per minute</w:t>
      </w:r>
      <w:r>
        <w:rPr>
          <w:rFonts w:ascii="Times New Roman" w:hAnsi="Times New Roman"/>
          <w:b w:val="false"/>
          <w:i w:val="false"/>
          <w:color w:val="000000"/>
          <w:sz w:val="22"/>
        </w:rPr>
        <w:t>$26</w:t>
      </w:r>
    </w:p>
    <w:p>
      <w:pPr>
        <w:spacing w:before="0" w:after="0"/>
        <w:ind w:left="120"/>
        <w:jc w:val="both"/>
      </w:pPr>
      <w:r>
        <w:rPr>
          <w:rFonts w:ascii="Times New Roman" w:hAnsi="Times New Roman"/>
          <w:b w:val="false"/>
          <w:i w:val="false"/>
          <w:color w:val="000000"/>
          <w:sz w:val="22"/>
        </w:rPr>
        <w:t>(3) Capacity of over 120 gallons per minute</w:t>
      </w:r>
      <w:r>
        <w:rPr>
          <w:rFonts w:ascii="Times New Roman" w:hAnsi="Times New Roman"/>
          <w:b w:val="false"/>
          <w:i w:val="false"/>
          <w:color w:val="000000"/>
          <w:sz w:val="22"/>
        </w:rPr>
        <w:t>$30</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Conduct of test. </w:t>
      </w:r>
      <w:r>
        <w:rPr>
          <w:rFonts w:ascii="Times New Roman" w:hAnsi="Times New Roman"/>
          <w:b w:val="false"/>
          <w:i w:val="false"/>
          <w:color w:val="000000"/>
          <w:sz w:val="22"/>
        </w:rPr>
        <w:t>On receipt of a request from a customer, the commission shall forward the deposit to the utility and notify the utility of the requirement for the test. The utility shall not knowingly remove or adjust the meter until tested. The utility shall furnish all instruments, load devices, and other facilities necessary for the test and shall perform the test and shall furnish verification of the accuracy of test instruments used.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Test results. </w:t>
      </w:r>
      <w:r>
        <w:rPr>
          <w:rFonts w:ascii="Times New Roman" w:hAnsi="Times New Roman"/>
          <w:b w:val="false"/>
          <w:i w:val="false"/>
          <w:color w:val="000000"/>
          <w:sz w:val="22"/>
        </w:rPr>
        <w:t xml:space="preserve">If the tested meter is found to overregister to an extent requiring a refund under the provisions of </w:t>
      </w:r>
      <w:hyperlink r:id="rId35">
        <w:r>
          <w:rPr>
            <w:rStyle w:val="Hyperlink"/>
            <w:rFonts w:ascii="Times New Roman" w:hAnsi="Times New Roman"/>
            <w:b w:val="false"/>
            <w:i w:val="false"/>
            <w:color w:val="000000"/>
            <w:sz w:val="22"/>
          </w:rPr>
          <w:t>21.4(6)</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amount paid to the utility shall be returned to the customer by the utility.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utility shall notify the customer in advance of the date and time of the commission-ordered test.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Utility report. </w:t>
      </w:r>
      <w:r>
        <w:rPr>
          <w:rFonts w:ascii="Times New Roman" w:hAnsi="Times New Roman"/>
          <w:b w:val="false"/>
          <w:i w:val="false"/>
          <w:color w:val="000000"/>
          <w:sz w:val="22"/>
        </w:rPr>
        <w:t>The utility shall make a written report of the results of the test. The report shall be sent to the customer and to the commission.</w:t>
      </w:r>
    </w:p>
    <w:p>
      <w:pPr>
        <w:spacing w:before="0" w:after="0"/>
        <w:ind w:left="120"/>
        <w:jc w:val="both"/>
      </w:pPr>
      <w:r>
        <w:rPr>
          <w:rFonts w:ascii="Times New Roman" w:hAnsi="Times New Roman"/>
          <w:b/>
          <w:i w:val="false"/>
          <w:color w:val="000000"/>
          <w:sz w:val="22"/>
        </w:rPr>
        <w:t>21.6(8)</w:t>
      </w:r>
      <w:r>
        <w:rPr>
          <w:rFonts w:ascii="Times New Roman" w:hAnsi="Times New Roman"/>
          <w:b w:val="false"/>
          <w:i w:val="false"/>
          <w:color w:val="000000"/>
          <w:sz w:val="22"/>
        </w:rPr>
        <w:t> </w:t>
      </w:r>
      <w:r>
        <w:rPr>
          <w:rFonts w:ascii="Times New Roman" w:hAnsi="Times New Roman"/>
          <w:b w:val="false"/>
          <w:i/>
          <w:color w:val="000000"/>
          <w:sz w:val="22"/>
        </w:rPr>
        <w:t xml:space="preserve">Sealing of meters. </w:t>
      </w:r>
      <w:r>
        <w:rPr>
          <w:rFonts w:ascii="Times New Roman" w:hAnsi="Times New Roman"/>
          <w:b w:val="false"/>
          <w:i w:val="false"/>
          <w:color w:val="000000"/>
          <w:sz w:val="22"/>
        </w:rPr>
        <w:t>Upon completion of adjustment and test of any water meter the utility shall place a suitable register seal on the meter in a manner that adjustment or registration of the meter cannot be changed without breaking the seal.</w:t>
      </w:r>
    </w:p>
    <w:p>
      <w:pPr>
        <w:spacing w:before="0" w:after="0"/>
        <w:ind w:left="120"/>
        <w:jc w:val="both"/>
      </w:pPr>
      <w:r>
        <w:rPr>
          <w:rFonts w:ascii="Times New Roman" w:hAnsi="Times New Roman"/>
          <w:b/>
          <w:i w:val="false"/>
          <w:color w:val="000000"/>
          <w:sz w:val="22"/>
        </w:rPr>
        <w:t>21.6(9)</w:t>
      </w:r>
      <w:r>
        <w:rPr>
          <w:rFonts w:ascii="Times New Roman" w:hAnsi="Times New Roman"/>
          <w:b w:val="false"/>
          <w:i w:val="false"/>
          <w:color w:val="000000"/>
          <w:sz w:val="22"/>
        </w:rPr>
        <w:t> </w:t>
      </w:r>
      <w:r>
        <w:rPr>
          <w:rFonts w:ascii="Times New Roman" w:hAnsi="Times New Roman"/>
          <w:b w:val="false"/>
          <w:i/>
          <w:color w:val="000000"/>
          <w:sz w:val="22"/>
        </w:rPr>
        <w:t xml:space="preserve">Record of meter tests. </w:t>
      </w:r>
      <w:r>
        <w:rPr>
          <w:rFonts w:ascii="Times New Roman" w:hAnsi="Times New Roman"/>
          <w:b w:val="false"/>
          <w:i w:val="false"/>
          <w:color w:val="000000"/>
          <w:sz w:val="22"/>
        </w:rPr>
        <w:t>Meter test records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reason for the test.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meter reading prior to any test.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accuracy as found at each of the flow rates required by </w:t>
      </w:r>
      <w:hyperlink r:id="rId36">
        <w:r>
          <w:rPr>
            <w:rStyle w:val="Hyperlink"/>
            <w:rFonts w:ascii="Times New Roman" w:hAnsi="Times New Roman"/>
            <w:b w:val="false"/>
            <w:i w:val="false"/>
            <w:color w:val="000000"/>
            <w:sz w:val="22"/>
          </w:rPr>
          <w:t>21.6(3)</w:t>
        </w:r>
        <w:r>
          <w:rPr>
            <w:rFonts w:ascii="Times New Roman" w:hAnsi="Times New Roman"/>
            <w:b w:val="false"/>
            <w:i/>
            <w:color w:val="000000"/>
            <w:sz w:val="22"/>
          </w:rPr>
          <w:t>“a.”</w:t>
        </w:r>
      </w:hyperlink>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accuracy as left at each of the flow rates required by </w:t>
      </w:r>
      <w:hyperlink r:id="rId37">
        <w:r>
          <w:rPr>
            <w:rStyle w:val="Hyperlink"/>
            <w:rFonts w:ascii="Times New Roman" w:hAnsi="Times New Roman"/>
            <w:b w:val="false"/>
            <w:i w:val="false"/>
            <w:color w:val="000000"/>
            <w:sz w:val="22"/>
          </w:rPr>
          <w:t>21.6(3)</w:t>
        </w:r>
        <w:r>
          <w:rPr>
            <w:rFonts w:ascii="Times New Roman" w:hAnsi="Times New Roman"/>
            <w:b w:val="false"/>
            <w:i/>
            <w:color w:val="000000"/>
            <w:sz w:val="22"/>
          </w:rPr>
          <w:t>“a.”</w:t>
        </w:r>
      </w:hyperlink>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Statement of any repairs.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meter test is made using a standard meter, the utility shall retain all data taken at the time of the test sufficient to permit the convenient checking of the test method, calculations, and traceability to the National Bureau of Standards’ volumetric standardization.</w:t>
      </w:r>
    </w:p>
    <w:p>
      <w:pPr>
        <w:spacing w:before="0" w:after="0"/>
        <w:ind w:left="120"/>
        <w:jc w:val="both"/>
      </w:pPr>
      <w:r>
        <w:rPr>
          <w:rFonts w:ascii="Times New Roman" w:hAnsi="Times New Roman"/>
          <w:b w:val="false"/>
          <w:i w:val="false"/>
          <w:color w:val="000000"/>
          <w:sz w:val="22"/>
        </w:rPr>
        <w:t>The test records of each meter shall be retained for two consecutive periodic tests or at least for two years. A record of the test made at the time of the meter’s retirement, if any, shall be retained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water service. </w:t>
      </w:r>
    </w:p>
    <w:p>
      <w:pPr>
        <w:spacing w:before="0" w:after="0"/>
        <w:ind w:left="120"/>
        <w:jc w:val="both"/>
      </w:pP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Water pressures. </w:t>
      </w:r>
      <w:r>
        <w:rPr>
          <w:rFonts w:ascii="Times New Roman" w:hAnsi="Times New Roman"/>
          <w:b w:val="false"/>
          <w:i w:val="false"/>
          <w:color w:val="000000"/>
          <w:sz w:val="22"/>
        </w:rPr>
        <w:t>Under normal condition of water usage, the pressure (pound per square inch gauge) at a customer’s service line shall be not less than 35 PSIG and not more than 125 PSIG.</w:t>
      </w:r>
    </w:p>
    <w:p>
      <w:pPr>
        <w:spacing w:before="0" w:after="0"/>
        <w:ind w:left="120"/>
        <w:jc w:val="both"/>
      </w:pPr>
      <w:r>
        <w:rPr>
          <w:rFonts w:ascii="Times New Roman" w:hAnsi="Times New Roman"/>
          <w:b w:val="false"/>
          <w:i w:val="false"/>
          <w:color w:val="000000"/>
          <w:sz w:val="22"/>
        </w:rPr>
        <w:t>At regular intervals, a utility shall make a survey of pressures in its water system. The survey shall be of sufficient magnitude to indicate the quality of service being rendered at representative points on its system. The survey shall be conducted during periods of high usage at or near the maximum usage during the year. The pressure charts for these surveys shall show the date and time of beginning and end of the test and the test location. Records of these pressure surveys shall be maintained at the utility’s principal office in the state and made available to the commission upon request.</w:t>
      </w:r>
    </w:p>
    <w:p>
      <w:pPr>
        <w:spacing w:before="0" w:after="0"/>
        <w:ind w:left="120"/>
        <w:jc w:val="both"/>
      </w:pP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water service.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shall make a reasonable effort to prevent interruptions of water service. When an emergency interruption occurs, the utility shall reestablish service with the shortest possible delay consistent with the safety of its customers and the general public. If an emergency interruption affects fire protection service, the utility shall immediately notify the fire chief or other responsible local official.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utility finds it necessary to schedule an interruption of water service, it shall make a reasonable effort to notify all customers to be affected by the interruption. The notice shall include the time and anticipated duration of the interruption. Interruptions shall be scheduled at hours which create the least inconvenience to the customer.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shall retain records of interruptions for a period of at least five years.</w:t>
      </w:r>
    </w:p>
    <w:p>
      <w:pPr>
        <w:spacing w:before="0" w:after="0"/>
        <w:ind w:left="120"/>
        <w:jc w:val="both"/>
      </w:pP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Water supply shortage. </w:t>
      </w:r>
      <w:r>
        <w:rPr>
          <w:rFonts w:ascii="Times New Roman" w:hAnsi="Times New Roman"/>
          <w:b w:val="false"/>
          <w:i w:val="false"/>
          <w:color w:val="000000"/>
          <w:sz w:val="22"/>
        </w:rPr>
        <w:t>The utility shall attempt to furnish a continuous and adequate supply of water to its customers and to avoid any shortage or interruption of water delivery.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utility finds that it is necessary to restrict the use of water due to a shortage, it shall equitably apportion its available water supply among its customers. The utility shall notify its customers and the commission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reason for the restriction.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nature and extent of the restriction.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effective date of the restriction.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probable date of termination of the restriction.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water use restriction shall not take effect unless approved by the commission, except in cases of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199—21.8</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Applications for water costs for fire protection services. </w:t>
      </w:r>
    </w:p>
    <w:p>
      <w:pPr>
        <w:spacing w:before="0" w:after="0"/>
        <w:ind w:left="120"/>
        <w:jc w:val="both"/>
      </w:pP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“water costs for fire protection service” shall be defined as all or a part of the utility’s costs of fire hydrants and other improvements, maintenance, and operations for the purpose of providing adequate water production, storage, and distribution for public fire protection, as reflected in the utility’s current tariff for public fire protection water service.</w:t>
      </w:r>
    </w:p>
    <w:p>
      <w:pPr>
        <w:spacing w:before="0" w:after="0"/>
        <w:ind w:left="120"/>
        <w:jc w:val="both"/>
      </w:pP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Utility requirements. </w:t>
      </w:r>
      <w:r>
        <w:rPr>
          <w:rFonts w:ascii="Times New Roman" w:hAnsi="Times New Roman"/>
          <w:b w:val="false"/>
          <w:i w:val="false"/>
          <w:color w:val="000000"/>
          <w:sz w:val="22"/>
        </w:rPr>
        <w:t xml:space="preserve">A utility which provides public fire protection water service to a city preparing an application pursuant to subrule </w:t>
      </w:r>
      <w:hyperlink r:id="rId38">
        <w:r>
          <w:rPr>
            <w:rStyle w:val="Hyperlink"/>
            <w:rFonts w:ascii="Times New Roman" w:hAnsi="Times New Roman"/>
            <w:b w:val="false"/>
            <w:i w:val="false"/>
            <w:color w:val="000000"/>
            <w:sz w:val="22"/>
          </w:rPr>
          <w:t>21.8(3)</w:t>
        </w:r>
      </w:hyperlink>
      <w:r>
        <w:rPr>
          <w:rFonts w:ascii="Times New Roman" w:hAnsi="Times New Roman"/>
          <w:b w:val="false"/>
          <w:i w:val="false"/>
          <w:color w:val="000000"/>
          <w:sz w:val="22"/>
        </w:rPr>
        <w:t xml:space="preserve"> shall provide the city all necessary information and affidavits to enable the city to meet its application filing requirements.</w:t>
      </w:r>
    </w:p>
    <w:p>
      <w:pPr>
        <w:spacing w:before="0" w:after="0"/>
        <w:ind w:left="120"/>
        <w:jc w:val="both"/>
      </w:pP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Any city filing an application with the commission requesting inclusion of all or a part of the water costs for fire protection service in a utility’s rates or charges to customers covered by the city’s fire protection service shall submit, at the time the application is filed, the following information with supporting testimony: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showing (1) the proposed method of allocating costs to affected customers, and (2) both the proposed per-customer rate increase and the average percentage increase by customer class, based on the utility’s current tariff, if the costs for fire protection water service are included in rates charged to affected customers;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all bills rendered to the city by the utility for public fire protection water service during the preceding 24-month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current number of utility customers served within the city’s corporate limits, by customer class, with an affidavit from the utility verifying the information;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illustrating both (1) the city’s corporate limits, and (2) the portion of the utility’s customer service area within the city’s corporate limits, with an affidavit from the utility verifying the customer service area;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affidavit from the utility showing that the notice required by Iowa Code section </w:t>
      </w:r>
      <w:hyperlink r:id="rId39">
        <w:r>
          <w:rPr>
            <w:rStyle w:val="Hyperlink"/>
            <w:rFonts w:ascii="Times New Roman" w:hAnsi="Times New Roman"/>
            <w:b w:val="false"/>
            <w:i w:val="false"/>
            <w:color w:val="000000"/>
            <w:sz w:val="22"/>
          </w:rPr>
          <w:t>476.6(14)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subrule </w:t>
      </w:r>
      <w:hyperlink r:id="rId4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 xml:space="preserve"> has been provided and paid for by the applicant and mailed by the utility to all affected customers.</w:t>
      </w:r>
    </w:p>
    <w:p>
      <w:pPr>
        <w:spacing w:before="0" w:after="0"/>
        <w:ind w:left="120"/>
        <w:jc w:val="both"/>
      </w:pP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The city shall file with the commission for its approval, not less than 30 days before providing notification to affected customers, a copy of the proposed notice.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Required content of notification. </w:t>
      </w:r>
      <w:r>
        <w:rPr>
          <w:rFonts w:ascii="Times New Roman" w:hAnsi="Times New Roman"/>
          <w:b w:val="false"/>
          <w:i w:val="false"/>
          <w:color w:val="000000"/>
          <w:sz w:val="22"/>
        </w:rPr>
        <w:t>The notice shall advise affected customers of the proposed increase in rates and charges, the proposed effective date of the increase, and the percentage increase by customer class. It shall advise customers that the city is requesting the increase and that customers have the right to file with the commission a written objection to the proposed increase and to request a public hearing. It shall also include a written explanation of the reason for the increase.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Notice of deficiencies. </w:t>
      </w:r>
      <w:r>
        <w:rPr>
          <w:rFonts w:ascii="Times New Roman" w:hAnsi="Times New Roman"/>
          <w:b w:val="false"/>
          <w:i w:val="false"/>
          <w:color w:val="000000"/>
          <w:sz w:val="22"/>
        </w:rPr>
        <w:t>Within 30 days of the filing of the proposed notice, the city shall be notified either of the approval of the notice or of any deficiencies in the notice and the corrective measures required for approval.</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Distribution. </w:t>
      </w:r>
      <w:r>
        <w:rPr>
          <w:rFonts w:ascii="Times New Roman" w:hAnsi="Times New Roman"/>
          <w:b w:val="false"/>
          <w:i w:val="false"/>
          <w:color w:val="000000"/>
          <w:sz w:val="22"/>
        </w:rPr>
        <w:t>The city shall provide to the utility, for mailing, a sufficient number of copies of the approved notice. The city shall direct the utility either to (1) include the notice with the utility’s next regularly scheduled mailing to the affected customers; or (2) make a separate mailing of the notice to affected customers within 30 days of receiving from the city the requisite number of copies of the notice. The city shall pay all expenses incurred by the utility in providing notice to affected customers. The utility may require payment prior to the mailing.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Delivery. </w:t>
      </w:r>
      <w:r>
        <w:rPr>
          <w:rFonts w:ascii="Times New Roman" w:hAnsi="Times New Roman"/>
          <w:b w:val="false"/>
          <w:i w:val="false"/>
          <w:color w:val="000000"/>
          <w:sz w:val="22"/>
        </w:rPr>
        <w:t>The written notice to affected customers shall be mailed or delivered by the utility not more than 90 days before the application is filed and no later than the date the application is filed.</w:t>
      </w:r>
    </w:p>
    <w:p>
      <w:pPr>
        <w:spacing w:before="0" w:after="0"/>
        <w:ind w:left="120"/>
        <w:jc w:val="both"/>
      </w:pP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of application. </w:t>
      </w:r>
      <w:r>
        <w:rPr>
          <w:rFonts w:ascii="Times New Roman" w:hAnsi="Times New Roman"/>
          <w:b w:val="false"/>
          <w:i w:val="false"/>
          <w:color w:val="000000"/>
          <w:sz w:val="22"/>
        </w:rPr>
        <w:t>The applicant shall file the application with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Docketing. </w:t>
      </w:r>
      <w:r>
        <w:rPr>
          <w:rFonts w:ascii="Times New Roman" w:hAnsi="Times New Roman"/>
          <w:b w:val="false"/>
          <w:i w:val="false"/>
          <w:color w:val="000000"/>
          <w:sz w:val="22"/>
        </w:rPr>
        <w:t>Within 30 days of the filing of the application, the commission shall either approve the application or docket the case as a formal proceeding and establish a procedural schedule.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Rules. </w:t>
      </w:r>
      <w:r>
        <w:rPr>
          <w:rFonts w:ascii="Times New Roman" w:hAnsi="Times New Roman"/>
          <w:b w:val="false"/>
          <w:i w:val="false"/>
          <w:color w:val="000000"/>
          <w:sz w:val="22"/>
        </w:rPr>
        <w:t xml:space="preserve">If the case is docketed as a formal proceeding, the rules in </w:t>
      </w:r>
      <w:hyperlink r:id="rId41">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if not inconsistent, shall apply.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Decision. </w:t>
      </w:r>
      <w:r>
        <w:rPr>
          <w:rFonts w:ascii="Times New Roman" w:hAnsi="Times New Roman"/>
          <w:b w:val="false"/>
          <w:i w:val="false"/>
          <w:color w:val="000000"/>
          <w:sz w:val="22"/>
        </w:rPr>
        <w:t>The commission shall render its decision within six months of the date of the application. If the application is approved, the commission shall order the utility providing the water service to the city to file tariffs implementing the commission’s decision. The utility shall include annually a bill insert explaining to customers that they are being charged for water-related fire protection costs. The city shall pay all costs incurred by the utility to file and implement the required tariff.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199—21.9</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water service. </w:t>
      </w:r>
    </w:p>
    <w:p>
      <w:pPr>
        <w:spacing w:before="0" w:after="0"/>
        <w:ind w:left="120"/>
        <w:jc w:val="both"/>
      </w:pP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water utility shall notify the commission about any incident involving: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occurrence of a waterborne illness;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issuance of a boil water advisory;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contamination event;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low-pressure event (less than 20 psi) that negatively affects the quality of water service;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flood event affecting the utility’s plant or distribution system; or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cyberattack affecting the well-being of the utility, its customers, or the environment.</w:t>
      </w:r>
    </w:p>
    <w:p>
      <w:pPr>
        <w:spacing w:before="0" w:after="0"/>
        <w:ind w:left="120"/>
        <w:jc w:val="both"/>
      </w:pP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42">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shall leave the telephone number of a person who can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of the incident.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the incident.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deaths or personal injuries and the extent of those injuries, if 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services interrupted.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shall notify the commission when the incident has ended and normal water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199—21.10</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water service assets. </w:t>
      </w:r>
      <w:r>
        <w:rPr>
          <w:rFonts w:ascii="Times New Roman" w:hAnsi="Times New Roman"/>
          <w:b w:val="false"/>
          <w:i w:val="false"/>
          <w:color w:val="000000"/>
          <w:sz w:val="22"/>
        </w:rPr>
        <w:t xml:space="preserve">A utility acquiring the whole or any substantial part of a water system with a fair market value of $500,000 or more from a non-rate-regulated entity described in Iowa Code section </w:t>
      </w:r>
      <w:hyperlink r:id="rId43">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SANITARY SEWAGE UTILITIES</w:t>
      </w:r>
    </w:p>
    <w:p>
      <w:pPr>
        <w:spacing w:before="0" w:after="0"/>
        <w:ind w:left="120"/>
        <w:jc w:val="both"/>
      </w:pPr>
      <w:r>
        <w:rPr>
          <w:rFonts w:ascii="Times New Roman" w:hAnsi="Times New Roman"/>
          <w:b/>
          <w:i w:val="false"/>
          <w:color w:val="000000"/>
          <w:sz w:val="22"/>
        </w:rPr>
        <w:t>199—21.11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sanitary sewage disposal service requirements. </w:t>
      </w:r>
    </w:p>
    <w:p>
      <w:pPr>
        <w:spacing w:before="0" w:after="0"/>
        <w:ind w:left="120"/>
        <w:jc w:val="both"/>
      </w:pP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disposal service.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Metered measurement of sanitary sewage. </w:t>
      </w:r>
      <w:r>
        <w:rPr>
          <w:rFonts w:ascii="Times New Roman" w:hAnsi="Times New Roman"/>
          <w:b w:val="false"/>
          <w:i w:val="false"/>
          <w:color w:val="000000"/>
          <w:sz w:val="22"/>
        </w:rPr>
        <w:t>All sanitary sewage disposal service sold by a utility shall be on the basis of metered measurement except that the utility may at its option, pursuant to commission-approved tariffs, provide flat rate or estimated service for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Temporary service;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disposal at the sewage treatment plant of delivered sewage where the amount of sewage can be readily estimated.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Sanitary sewage meter requirements. </w:t>
      </w:r>
      <w:r>
        <w:rPr>
          <w:rFonts w:ascii="Times New Roman" w:hAnsi="Times New Roman"/>
          <w:b w:val="false"/>
          <w:i w:val="false"/>
          <w:color w:val="000000"/>
          <w:sz w:val="22"/>
        </w:rPr>
        <w:t xml:space="preserve">Sanitary sewage disposal service provided by a utility may be based upon the amount of water used by the customer as measured pursuant to rule </w:t>
      </w:r>
      <w:hyperlink r:id="rId44">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 xml:space="preserve">(476) or separately metered in substantial conformity with the requirements of rule </w:t>
      </w:r>
      <w:hyperlink r:id="rId45">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(476). The method of measuring sanitary sewage disposal service shall be filed in the utility’s tariff and approved by the commission. A proposed tariff which includes provisions for separate sanitary sewage meters shall describe the circumstances under which separate meters will be used.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 classes. </w:t>
      </w:r>
      <w:r>
        <w:rPr>
          <w:rFonts w:ascii="Times New Roman" w:hAnsi="Times New Roman"/>
          <w:b w:val="false"/>
          <w:i w:val="false"/>
          <w:color w:val="000000"/>
          <w:sz w:val="22"/>
        </w:rPr>
        <w:t>In establishing customer classes, the utility may consider the characteristics of the sewage generated by that customer class and the existence of any industrial pretreatment agreements. Customer classes shall be established pursuant to commission-approved tariffs.</w:t>
      </w:r>
    </w:p>
    <w:p>
      <w:pPr>
        <w:spacing w:before="0" w:after="0"/>
        <w:ind w:left="120"/>
        <w:jc w:val="both"/>
      </w:pP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of the costs of installing and removing the service in excess of any salvage realized, pursuant to commission-approved tariffs.</w:t>
      </w:r>
    </w:p>
    <w:p>
      <w:pPr>
        <w:spacing w:before="0" w:after="0"/>
        <w:ind w:left="120"/>
        <w:jc w:val="both"/>
      </w:pP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Sewage meter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Sewage meter installation. </w:t>
      </w:r>
      <w:r>
        <w:rPr>
          <w:rFonts w:ascii="Times New Roman" w:hAnsi="Times New Roman"/>
          <w:b w:val="false"/>
          <w:i w:val="false"/>
          <w:color w:val="000000"/>
          <w:sz w:val="22"/>
        </w:rPr>
        <w:t>Each sanitary sewage utility shall adopt a written standard method or a method preapproved by the commission for meter installation. Copies of standard methods shall be made available upon request. All meters shall be set in place by the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Records of sewage meters and associated metering devices. </w:t>
      </w:r>
      <w:r>
        <w:rPr>
          <w:rFonts w:ascii="Times New Roman" w:hAnsi="Times New Roman"/>
          <w:b w:val="false"/>
          <w:i w:val="false"/>
          <w:color w:val="000000"/>
          <w:sz w:val="22"/>
        </w:rPr>
        <w:t>Each sanitary sewage utility shall maintain for each meter and associated metering device the following applicable data: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identification.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Manufacturer.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type, catalog number, and serial number.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capacity.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Registration unit of measurement (gallons or cubic feet).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moving digits or dials on register.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fixed zeros on register.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Pressure rating of the meter.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location history.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Dates of installation and removal from service.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Location of installation.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shall be maintained identical to readings of the meter register.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shall have a readable meter register at the meter.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Sewage meter readings.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Sewage meter reading interval. Reading of all meters used for determining charges to customers shall be scheduled at least quarterly. An effort shall be made to read meters on corresponding days of each meter reading period. The meter reading date may be advanced or postponed no more than ten days without adjustment of the billing for the period.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sewage meter reading. The utility may permit the customer to supply the meter readings on a form supplied by the utility or, in the alternative, may permit the customer to supply the meter reading information by telephone, or electronically, provided a utility representative reads the meter at least once every 12 months and when there is a change of customer.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Readings and estimates in unusual situations. When a customer is connected or disconnected, or the regular meter reading date is substantially revised causing a given billing period to be longer or shorter than usual, such bills shall be prorated on a daily basis.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shall more than three consecutive estimated bills be rendered.</w:t>
      </w:r>
    </w:p>
    <w:p>
      <w:pPr>
        <w:spacing w:before="0" w:after="0"/>
        <w:ind w:left="120"/>
        <w:jc w:val="both"/>
      </w:pP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shall be filed with the commission.</w:t>
      </w:r>
    </w:p>
    <w:p>
      <w:pPr>
        <w:spacing w:before="0" w:after="0"/>
        <w:ind w:left="120"/>
        <w:jc w:val="both"/>
      </w:pPr>
      <w:r>
        <w:rPr>
          <w:rFonts w:ascii="Times New Roman" w:hAnsi="Times New Roman"/>
          <w:b/>
          <w:i w:val="false"/>
          <w:color w:val="000000"/>
          <w:sz w:val="22"/>
        </w:rPr>
        <w:t>21.11(5)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shall apply to the terms used in </w:t>
      </w:r>
      <w:hyperlink r:id="rId46">
        <w:r>
          <w:rPr>
            <w:rStyle w:val="Hyperlink"/>
            <w:rFonts w:ascii="Times New Roman" w:hAnsi="Times New Roman"/>
            <w:b w:val="false"/>
            <w:i w:val="false"/>
            <w:color w:val="000000"/>
            <w:sz w:val="22"/>
          </w:rPr>
          <w:t>subrule 21.11(5)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shall include a grossed-up amount for the income tax effect of such revenue.</w:t>
      </w:r>
    </w:p>
    <w:p>
      <w:pPr>
        <w:spacing w:before="0" w:after="0"/>
        <w:ind w:left="120"/>
        <w:jc w:val="both"/>
      </w:pP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shall be grossed-up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means a separate record established and maintained by the utility, which includes by depositor, the amount of advance for construction provided by the customer, whether the advance is by cash or surety bond or equivalent surety, and if by surety bond, all relevant information concerning the bond or equivalent surety, the amount of refund, if any, to which the depositor is entitled, the amount of refund, if any, which has been made to the customer, the amount unrefunded, and the construction project on which or work order pursuant to which the extension was installed.</w:t>
      </w:r>
    </w:p>
    <w:p>
      <w:pPr>
        <w:spacing w:before="0" w:after="0"/>
        <w:ind w:left="120"/>
        <w:jc w:val="both"/>
      </w:pP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means an estimated calculation of annual revenue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color w:val="000000"/>
          <w:sz w:val="22"/>
        </w:rPr>
        <w:t xml:space="preserve">“Estimated construction cost” </w:t>
      </w:r>
      <w:r>
        <w:rPr>
          <w:rFonts w:ascii="Times New Roman" w:hAnsi="Times New Roman"/>
          <w:b w:val="false"/>
          <w:i w:val="false"/>
          <w:color w:val="000000"/>
          <w:sz w:val="22"/>
        </w:rPr>
        <w:t>means an estimated calculation of construction costs using average costs in accordance with good engineering practices and based upon the following factors: amount of service required or desired by the customer requesting the extension; size, location and characteristics of the extension, including all appurtenances; and whether or not the ground is frozen or whether other adverse conditions exist. The average cost per foot shall be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shall estimated construction costs include costs associated with facilities built for the convenience of the utility.</w:t>
      </w:r>
    </w:p>
    <w:p>
      <w:pPr>
        <w:spacing w:before="0" w:after="0"/>
        <w:ind w:left="120"/>
        <w:jc w:val="both"/>
      </w:pPr>
      <w:r>
        <w:rPr>
          <w:rFonts w:ascii="Times New Roman" w:hAnsi="Times New Roman"/>
          <w:b w:val="false"/>
          <w:i/>
          <w:color w:val="000000"/>
          <w:sz w:val="22"/>
        </w:rPr>
        <w:t xml:space="preserve">“Extensions” </w:t>
      </w:r>
      <w:r>
        <w:rPr>
          <w:rFonts w:ascii="Times New Roman" w:hAnsi="Times New Roman"/>
          <w:b w:val="false"/>
          <w:i w:val="false"/>
          <w:color w:val="000000"/>
          <w:sz w:val="22"/>
        </w:rPr>
        <w:t>means a sanitary sewer main extension.</w:t>
      </w:r>
    </w:p>
    <w:p>
      <w:pPr>
        <w:spacing w:before="0" w:after="0"/>
        <w:ind w:left="120"/>
        <w:jc w:val="both"/>
      </w:pP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provide all sewage treatment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shall require, no more than 30 days prior to commencement of construction, the customer or developer to advance funds which are subject to refund as additional customers are attached. A contract between the utility and the customer which requires an advance by the customer to make plant additions shall be available for commission inspection.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customer will attach within 30 days after completion of the sewer main extension, the following shall apply: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estimated construction cost to provide a sewer main extension is less than or equal to five times the estimated annual revenue calculated on the basis of similarly situated customers, the utility shall finance and make the extension without requiring an advance for construction.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estimated construction cost to provide a sewer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customer will not attach within the agreed-upon attachment period after completion of the sewer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shall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shall provide the utility a cash deposit equal to the amount of the surety bond, less refunds accumulated during the bonded period, plus the surcharge, or the depositor may pay the interest on the previous year’s bond and rebond the balance due to the utility for a second or third one-year period. Upon receipt of such cash deposit, the utility shall release the surety bond. The cash deposit, less the surcharge, shall be subject to refund by the utility for the remainder of the ten-year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shall refund to the depositor for a period of ten years from the date of the original advance, a pro-rata share for each service attachment to the sewer main extension. The pro-rata refund shall be computed in the following manner: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combined total of five times the estimated annual revenue for the depositor and each customer who has attached to the sewer main extension exceeds the total estimated construction cost to provide the extension, the entire amount of the advance provided by the depositor shall be refunded to the depositor.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combined total of five times the estimated annual revenue for the depositor and each customer who has attached to the sewer main extension is less than the total estimated construction cost to provide the extension, the amount to be refunded to the depositor shall equal five times the estimated annual revenue of the customer attaching to the extension.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no event shall the total amount to be refunded to a depositor exceed the amount of the advance for construction made by the depositor. Any amounts subject to refund shall be paid by the utility without interest. At the expiration of the above-described ten-year period, the customer advance for construction record shall be closed and the remaining balance shall be credited to the respective plant account.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 xml:space="preserve">Utilities shall not be required to make extensions as described in subrule </w:t>
      </w:r>
      <w:hyperlink r:id="rId47">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unless the extension shall be of a permanent nature.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 xml:space="preserve">Subrule </w:t>
      </w:r>
      <w:hyperlink r:id="rId48">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xml:space="preserve"> shall not be construed as prohibiting any utility from making a contract with a customer in a different manner, if the contract provides a more favorable method of extension to the customer, so long as no discrimination is practiced among customers or depositors.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Subrule </w:t>
      </w:r>
      <w:hyperlink r:id="rId49">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xml:space="preserve"> shall not be construed as prohibiting an individual, partnership, or company from constructing its own extension. An extension constructed by a nonutility entity must meet at a minimum the applicable portions of the standards in subrules </w:t>
      </w:r>
      <w:hyperlink r:id="rId50">
        <w:r>
          <w:rPr>
            <w:rStyle w:val="Hyperlink"/>
            <w:rFonts w:ascii="Times New Roman" w:hAnsi="Times New Roman"/>
            <w:b w:val="false"/>
            <w:i w:val="false"/>
            <w:color w:val="000000"/>
            <w:sz w:val="22"/>
          </w:rPr>
          <w:t>21.13(1)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21.13(2)</w:t>
        </w:r>
      </w:hyperlink>
      <w:r>
        <w:rPr>
          <w:rFonts w:ascii="Times New Roman" w:hAnsi="Times New Roman"/>
          <w:b w:val="false"/>
          <w:i w:val="false"/>
          <w:color w:val="000000"/>
          <w:sz w:val="22"/>
        </w:rPr>
        <w:t xml:space="preserve"> and such other reasonable standards as the utility may employ in constructing extensions, so long as the standards do not mandate a particular supplier. All connections to the utility-owned equipment or facilities shall be made by the utility at the applicant’s expense. At the time of attachment to the utility-owned equipment or facilities, the applicant shall transfer ownership of the extension to the utility and the utility shall book the original cost of construction of the extension as an advance for construction, and refunds shall be made to the applicant in accordance with </w:t>
      </w:r>
      <w:hyperlink r:id="rId52">
        <w:r>
          <w:rPr>
            <w:rStyle w:val="Hyperlink"/>
            <w:rFonts w:ascii="Times New Roman" w:hAnsi="Times New Roman"/>
            <w:b w:val="false"/>
            <w:i w:val="false"/>
            <w:color w:val="000000"/>
            <w:sz w:val="22"/>
          </w:rPr>
          <w:t>paragraph 21.11(5)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shall be responsible for the operation and maintenance of the extension after attachment.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i w:val="false"/>
          <w:color w:val="000000"/>
          <w:sz w:val="22"/>
        </w:rPr>
        <w:t>21.11(6)</w:t>
      </w:r>
      <w:r>
        <w:rPr>
          <w:rFonts w:ascii="Times New Roman" w:hAnsi="Times New Roman"/>
          <w:b w:val="false"/>
          <w:i w:val="false"/>
          <w:color w:val="000000"/>
          <w:sz w:val="22"/>
        </w:rPr>
        <w:t> </w:t>
      </w:r>
      <w:r>
        <w:rPr>
          <w:rFonts w:ascii="Times New Roman" w:hAnsi="Times New Roman"/>
          <w:b w:val="false"/>
          <w:i/>
          <w:color w:val="000000"/>
          <w:sz w:val="22"/>
        </w:rPr>
        <w:t xml:space="preserve">Sanitary sewer service connections. </w:t>
      </w:r>
      <w:r>
        <w:rPr>
          <w:rFonts w:ascii="Times New Roman" w:hAnsi="Times New Roman"/>
          <w:b w:val="false"/>
          <w:i w:val="false"/>
          <w:color w:val="000000"/>
          <w:sz w:val="22"/>
        </w:rPr>
        <w:t>The utility shall supervise the installation and maintenance of that portion of the sanitary sewer service line from the main to and including the customer’s meter or, if the customer does not have a separate meter for sanitary sewage disposal service, to the point where the sanitary sewage line exits the customer’s residence or building.</w:t>
      </w:r>
    </w:p>
    <w:p>
      <w:pPr>
        <w:spacing w:before="0" w:after="0"/>
        <w:ind w:left="120"/>
        <w:jc w:val="both"/>
      </w:pPr>
      <w:r>
        <w:rPr>
          <w:rFonts w:ascii="Times New Roman" w:hAnsi="Times New Roman"/>
          <w:b/>
          <w:i w:val="false"/>
          <w:color w:val="000000"/>
          <w:sz w:val="22"/>
        </w:rPr>
        <w:t>21.11(7)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out-of-doors shall be readily accessible for maintenance and reading, and so far as practicable the location should be mutually acceptable to the customer and the utility. The meter shall be installed so as to be unaffected by climatic conditions and reasonably secure from injury.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shall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199—21.12</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sanitary sewage disposal service. </w:t>
      </w:r>
    </w:p>
    <w:p>
      <w:pPr>
        <w:spacing w:before="0" w:after="0"/>
        <w:ind w:left="120"/>
        <w:jc w:val="both"/>
      </w:pP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up-to-date maps, plans, or records of its entire system.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customers affected by a change in rates or rate classification as directed in the commission’s rules of practice and procedures.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Inquiries for information or complaints to a utility shall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which will enable the customer to reach that employee again if needed.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877-565-4450; by writing to 1375 E. Court Avenue, Des Moines, Iowa 50319-0069; or by email to </w:t>
      </w:r>
      <w:hyperlink r:id="rId53">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bill insert or notice on the bill will be provided no less than annually. Any utility which does not use the standard form contained herein shall file its proposed form in its tariff for approval. A utility which bills by postcard may place an advertisement in a local newspaper of general circulation or a customer newsletter instead of a mailing. The advertisement must be of a type size that is easily legible and conspicuous and must contain the information set forth above.</w:t>
      </w:r>
    </w:p>
    <w:p>
      <w:pPr>
        <w:spacing w:before="0" w:after="0"/>
        <w:ind w:left="120"/>
        <w:jc w:val="both"/>
      </w:pP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No written notice is required to be given of a deposit required as a prerequisite for commencing initial service.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shall issue a receipt of deposit to each customer from whom a deposit is received.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utility to each customer required to make a deposit.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shall be refunded upon termination of the customer’s service.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54">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55">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shall bill each customer as promptly as possible following the reading of the customer’s meter. Each bill, including the customer’s receipt, shall show: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units metered when applicable.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applicable rates.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gross and net amounts of the bill.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i w:val="false"/>
          <w:color w:val="000000"/>
          <w:sz w:val="22"/>
        </w:rPr>
        <w:t>21.12(4)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shall be considered rendered to the customer when deposited in the U.S. mail with postage prepaid. If delivery is by other than U.S. mail, the bill shall be considered rendered when delivered to the last-known address of the party responsible for payment. There shall be not less than 20 days between the rendering of a bill and the date by which the account becomes delinquent.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shall not exceed 1.5 percent per month of the past due amount.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i w:val="false"/>
          <w:color w:val="000000"/>
          <w:sz w:val="22"/>
        </w:rPr>
        <w:t>21.12(5)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w:t>
      </w:r>
      <w:hyperlink r:id="rId56">
        <w:r>
          <w:rPr>
            <w:rStyle w:val="Hyperlink"/>
            <w:rFonts w:ascii="Times New Roman" w:hAnsi="Times New Roman"/>
            <w:b w:val="false"/>
            <w:i w:val="false"/>
            <w:color w:val="000000"/>
            <w:sz w:val="22"/>
          </w:rPr>
          <w:t>subrule 21.12(6)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i w:val="false"/>
          <w:color w:val="000000"/>
          <w:sz w:val="22"/>
        </w:rPr>
        <w:t>21.12(6)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which are incorrect due to meter or billing errors are to be adjusted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a person no longer a customer of the utility, a notice shall be mailed to the last-known address.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w:t>
      </w:r>
      <w:hyperlink r:id="rId57">
        <w:r>
          <w:rPr>
            <w:rStyle w:val="Hyperlink"/>
            <w:rFonts w:ascii="Times New Roman" w:hAnsi="Times New Roman"/>
            <w:b w:val="false"/>
            <w:i w:val="false"/>
            <w:color w:val="000000"/>
            <w:sz w:val="22"/>
          </w:rPr>
          <w:t>paragraph 21.12(6)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shall not exceed five years unless otherwise ordered by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shall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i w:val="false"/>
          <w:color w:val="000000"/>
          <w:sz w:val="22"/>
        </w:rPr>
        <w:t>21.12(7)</w:t>
      </w:r>
      <w:r>
        <w:rPr>
          <w:rFonts w:ascii="Times New Roman" w:hAnsi="Times New Roman"/>
          <w:b w:val="false"/>
          <w:i w:val="false"/>
          <w:color w:val="000000"/>
          <w:sz w:val="22"/>
        </w:rPr>
        <w:t> </w:t>
      </w:r>
      <w:r>
        <w:rPr>
          <w:rFonts w:ascii="Times New Roman" w:hAnsi="Times New Roman"/>
          <w:b w:val="false"/>
          <w:i/>
          <w:color w:val="000000"/>
          <w:sz w:val="22"/>
        </w:rPr>
        <w:t xml:space="preserve">Refusal of service. </w:t>
      </w:r>
      <w:r>
        <w:rPr>
          <w:rFonts w:ascii="Times New Roman" w:hAnsi="Times New Roman"/>
          <w:b w:val="false"/>
          <w:i w:val="false"/>
          <w:color w:val="000000"/>
          <w:sz w:val="22"/>
        </w:rPr>
        <w:t xml:space="preserve">Service may be refused only for the reasons listed in </w:t>
      </w:r>
      <w:hyperlink r:id="rId58">
        <w:r>
          <w:rPr>
            <w:rStyle w:val="Hyperlink"/>
            <w:rFonts w:ascii="Times New Roman" w:hAnsi="Times New Roman"/>
            <w:b w:val="false"/>
            <w:i w:val="false"/>
            <w:color w:val="000000"/>
            <w:sz w:val="22"/>
          </w:rPr>
          <w:t>paragraphs 21.12(7)</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hyperlink>
      <w:r>
        <w:rPr>
          <w:rFonts w:ascii="Times New Roman" w:hAnsi="Times New Roman"/>
          <w:b w:val="false"/>
          <w:i w:val="false"/>
          <w:color w:val="000000"/>
          <w:sz w:val="22"/>
        </w:rPr>
        <w:t xml:space="preserve"> below. Unless otherwise stated, the customer shall be permitted at least 12 days, excluding Sundays and legal holidays, following mailing of notice of refusal in which to take necessary action before service is refused. When a person is refused service, the utility shall notify the person promptly of the reason for the refusal to serve and of the person’s right to file a complaint about the utility’s decision with the commission. Refusal of service shall be pursuant to tariffs approved by the commission.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Without notice in the event of an emergency.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Without notice in the event of tampering with the equipment furnished and owned by the utility or obtaining service by fraudulent means.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violation of or noncompliance with the utility’s rules on file with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failure of the customer to permit the utility reasonable access to its equipment.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nonpayment of bill.</w:t>
      </w:r>
    </w:p>
    <w:p>
      <w:pPr>
        <w:spacing w:before="0" w:after="0"/>
        <w:ind w:left="120"/>
        <w:jc w:val="both"/>
      </w:pPr>
      <w:r>
        <w:rPr>
          <w:rFonts w:ascii="Times New Roman" w:hAnsi="Times New Roman"/>
          <w:b/>
          <w:i w:val="false"/>
          <w:color w:val="000000"/>
          <w:sz w:val="22"/>
        </w:rPr>
        <w:t>21.12(8)</w:t>
      </w:r>
      <w:r>
        <w:rPr>
          <w:rFonts w:ascii="Times New Roman" w:hAnsi="Times New Roman"/>
          <w:b w:val="false"/>
          <w:i w:val="false"/>
          <w:color w:val="000000"/>
          <w:sz w:val="22"/>
        </w:rPr>
        <w:t> </w:t>
      </w:r>
      <w:r>
        <w:rPr>
          <w:rFonts w:ascii="Times New Roman" w:hAnsi="Times New Roman"/>
          <w:b w:val="false"/>
          <w:i/>
          <w:color w:val="000000"/>
          <w:sz w:val="22"/>
        </w:rPr>
        <w:t xml:space="preserve">Method of refusing service. </w:t>
      </w:r>
      <w:r>
        <w:rPr>
          <w:rFonts w:ascii="Times New Roman" w:hAnsi="Times New Roman"/>
          <w:b w:val="false"/>
          <w:i w:val="false"/>
          <w:color w:val="000000"/>
          <w:sz w:val="22"/>
        </w:rPr>
        <w:t>A utility may refuse sanitary sewage disposal service to a residential customer by disconnecting water service or by arranging for the disconnection of water service pursuant to an agreement with the entity providing water service. Except in the event of an emergency or with prior written authorization from the Commission, a utility shall not refuse sanitary sewage disposal service to a residential customer by physically disconnecting the customer’s sanitary sewage service connection.</w:t>
      </w:r>
    </w:p>
    <w:p>
      <w:pPr>
        <w:spacing w:before="0" w:after="0"/>
        <w:ind w:left="120"/>
        <w:jc w:val="both"/>
      </w:pPr>
      <w:r>
        <w:rPr>
          <w:rFonts w:ascii="Times New Roman" w:hAnsi="Times New Roman"/>
          <w:b/>
          <w:i w:val="false"/>
          <w:color w:val="000000"/>
          <w:sz w:val="22"/>
        </w:rPr>
        <w:t>21.12(9)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sanitary sewage disposal service where the cause of discontinuance has been corrected, the utility shall promptly restore service to the customer. The utility may make a reasonable charge applied uniformly for reconnection of service.</w:t>
      </w:r>
    </w:p>
    <w:p>
      <w:pPr>
        <w:spacing w:before="0" w:after="0"/>
        <w:ind w:left="120"/>
        <w:jc w:val="both"/>
      </w:pPr>
      <w:r>
        <w:rPr>
          <w:rFonts w:ascii="Times New Roman" w:hAnsi="Times New Roman"/>
          <w:b/>
          <w:i w:val="false"/>
          <w:color w:val="000000"/>
          <w:sz w:val="22"/>
        </w:rPr>
        <w:t>21.12(10)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present or prospective customer: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the bill of another customer as guarantor thereof.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for a different type or class of utility service.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A “complaint” shall mean any objection to the charge, facilities, or quality of service of a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 investigate promptly and thoroughly and keep a record of all complaints received from its customers that will enable it to review its procedures and actions. The record shall show the name and address of the complainant, the date and nature of the complaint, and its disposition and the date resolved.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record of the original complaint shall be kept for a period of three years after final settlement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199—21.13</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sanitary sewage disposal service. </w:t>
      </w:r>
    </w:p>
    <w:p>
      <w:pPr>
        <w:spacing w:before="0" w:after="0"/>
        <w:ind w:left="120"/>
        <w:jc w:val="both"/>
      </w:pP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collection system shall conform to good standard engineering practice.</w:t>
      </w:r>
    </w:p>
    <w:p>
      <w:pPr>
        <w:spacing w:before="0" w:after="0"/>
        <w:ind w:left="120"/>
        <w:jc w:val="both"/>
      </w:pP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collection system in order to determine the necessity for replacement and repair. The frequency of the various inspections shall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199—21.14</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sanitary sewage disposal service. </w:t>
      </w:r>
      <w:r>
        <w:rPr>
          <w:rFonts w:ascii="Times New Roman" w:hAnsi="Times New Roman"/>
          <w:b w:val="false"/>
          <w:i w:val="false"/>
          <w:color w:val="000000"/>
          <w:sz w:val="22"/>
        </w:rPr>
        <w:t xml:space="preserve">If a utility uses separate meters to measure the volume of sewage disposal, the separate meters shall be tested in substantial conformity with the requirements of rule </w:t>
      </w:r>
      <w:hyperlink r:id="rId59">
        <w:r>
          <w:rPr>
            <w:rStyle w:val="Hyperlink"/>
            <w:rFonts w:ascii="Times New Roman" w:hAnsi="Times New Roman"/>
            <w:b w:val="false"/>
            <w:i w:val="false"/>
            <w:color w:val="000000"/>
            <w:sz w:val="22"/>
          </w:rPr>
          <w:t>199—21.6</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199—21.15</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sanitary sewage disposal service. </w:t>
      </w:r>
    </w:p>
    <w:p>
      <w:pPr>
        <w:spacing w:before="0" w:after="0"/>
        <w:ind w:left="120"/>
        <w:jc w:val="both"/>
      </w:pP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utility shall maintain and operate any sewage treatment facility with adequate capacity and equipment to convey all sewage to the plant and to treat the sewage to the quality required by all applicable laws and regulations.</w:t>
      </w:r>
    </w:p>
    <w:p>
      <w:pPr>
        <w:spacing w:before="0" w:after="0"/>
        <w:ind w:left="120"/>
        <w:jc w:val="both"/>
      </w:pP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The design and construction of the utility’s collection system, treatment facility, and all additions and modifications shall conform to the requirements prescribed by law.</w:t>
      </w:r>
    </w:p>
    <w:p>
      <w:pPr>
        <w:spacing w:before="0" w:after="0"/>
        <w:ind w:left="120"/>
        <w:jc w:val="both"/>
      </w:pP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Reasonable efforts to prevent. </w:t>
      </w:r>
      <w:r>
        <w:rPr>
          <w:rFonts w:ascii="Times New Roman" w:hAnsi="Times New Roman"/>
          <w:b w:val="false"/>
          <w:i w:val="false"/>
          <w:color w:val="000000"/>
          <w:sz w:val="22"/>
        </w:rPr>
        <w:t>The utility shall make reasonable efforts to eliminate or prevent the entry of surface water or groundwater into its sanitary sewage system or the unlawful release of untreated sanitary sewage. The utility may request assistance from any appropriate state, county, or municipal authorities, but such a request does not relieve the utility of its responsibility to make reasonable efforts to eliminate or prevent the entry of surface water or groundwater and to contain sewage. The utility shall notify the commission when it requests assistance from other state or local agencies.</w:t>
      </w:r>
    </w:p>
    <w:p>
      <w:pPr>
        <w:spacing w:before="0" w:after="0"/>
        <w:ind w:left="120"/>
        <w:jc w:val="both"/>
      </w:pP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Bypass and upset. </w:t>
      </w:r>
      <w:r>
        <w:rPr>
          <w:rFonts w:ascii="Times New Roman" w:hAnsi="Times New Roman"/>
          <w:b w:val="false"/>
          <w:i w:val="false"/>
          <w:color w:val="000000"/>
          <w:sz w:val="22"/>
        </w:rPr>
        <w:t xml:space="preserve">The utility shall comply with the bypass and upset provisions of rule </w:t>
      </w:r>
      <w:hyperlink r:id="rId60">
        <w:r>
          <w:rPr>
            <w:rStyle w:val="Hyperlink"/>
            <w:rFonts w:ascii="Times New Roman" w:hAnsi="Times New Roman"/>
            <w:b w:val="false"/>
            <w:i w:val="false"/>
            <w:color w:val="000000"/>
            <w:sz w:val="22"/>
          </w:rPr>
          <w:t>567—63.6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sanitary sewage disposal service.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shall make a reasonable effort to prevent interruptions of sanitary sewage service. When an emergency interruption occurs, the utility shall reestablish service with the shortest possible delay consistent with the safety of its customers and the general public.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utility finds it necessary to schedule an interruption of service, it shall make a reasonable effort to notify all customers to be affected by the interruption. The notice shall include the time and anticipated duration of the interruption. Interruptions shall be scheduled at hours which create the least inconvenience to the customer. The utility shall notify the commission when sanitary sewage service is interrupted. Except for emergencies, a utility shall not interrupt sanitary sewage disposal service unless water service has been disconnected at least 24 hours prior.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shall retain records of interruptions for a period of at least five years. </w:t>
      </w:r>
    </w:p>
    <w:p>
      <w:pPr>
        <w:spacing w:before="0" w:after="0"/>
        <w:ind w:left="120"/>
        <w:jc w:val="both"/>
      </w:pPr>
      <w:r>
        <w:rPr>
          <w:rFonts w:ascii="Times New Roman" w:hAnsi="Times New Roman"/>
          <w:b/>
          <w:i w:val="false"/>
          <w:color w:val="000000"/>
          <w:sz w:val="22"/>
        </w:rPr>
        <w:t>21.15(6)</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Sanitary sewage service shall be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199—21.16</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sanitary sewage disposal service. </w:t>
      </w:r>
    </w:p>
    <w:p>
      <w:pPr>
        <w:spacing w:before="0" w:after="0"/>
        <w:ind w:left="120"/>
        <w:jc w:val="both"/>
      </w:pP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sanitary sewage utility shall notify the commission about any incident involving: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unlawful or uncontained release of sewage into the environment;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flood event affecting the utility’s plant or collection system;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cyberattack affecting the well-being of the utility, its customers, or the environment;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event that causes serious adverse impact on the health of people or the environment or interrupts service to the customer.</w:t>
      </w:r>
    </w:p>
    <w:p>
      <w:pPr>
        <w:spacing w:before="0" w:after="0"/>
        <w:ind w:left="120"/>
        <w:jc w:val="both"/>
      </w:pP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61">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shall leave the telephone number of a person who can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of the incident.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the incident.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deaths or personal injuries and the extent of those injuries, if 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services interrupted.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shall notify the commission when the incident has ended and normal sanitary sewage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199—21.17</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sanitary sewage disposal service assets. </w:t>
      </w:r>
      <w:r>
        <w:rPr>
          <w:rFonts w:ascii="Times New Roman" w:hAnsi="Times New Roman"/>
          <w:b w:val="false"/>
          <w:i w:val="false"/>
          <w:color w:val="000000"/>
          <w:sz w:val="22"/>
        </w:rPr>
        <w:t xml:space="preserve">A utility acquiring the whole or any substantial part of a sanitary sewage system with a fair market value of $500,000 or more from a non-rate-regulated entity described in Iowa Code section </w:t>
      </w:r>
      <w:hyperlink r:id="rId62">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STORM WATER DRAINAGE UTILITIES</w:t>
      </w:r>
    </w:p>
    <w:p>
      <w:pPr>
        <w:spacing w:before="0" w:after="0"/>
        <w:ind w:left="120"/>
        <w:jc w:val="both"/>
      </w:pPr>
      <w:r>
        <w:rPr>
          <w:rFonts w:ascii="Times New Roman" w:hAnsi="Times New Roman"/>
          <w:b/>
          <w:i w:val="false"/>
          <w:color w:val="000000"/>
          <w:sz w:val="22"/>
        </w:rPr>
        <w:t>199—21.18</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storm water drainage service. </w:t>
      </w:r>
    </w:p>
    <w:p>
      <w:pPr>
        <w:spacing w:before="0" w:after="0"/>
        <w:ind w:left="120"/>
        <w:jc w:val="both"/>
      </w:pP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Design and maintenance. </w:t>
      </w:r>
      <w:r>
        <w:rPr>
          <w:rFonts w:ascii="Times New Roman" w:hAnsi="Times New Roman"/>
          <w:b w:val="false"/>
          <w:i w:val="false"/>
          <w:color w:val="000000"/>
          <w:sz w:val="22"/>
        </w:rPr>
        <w:t>Systems for storm water drainage by piped collection shall be designed and maintained in conformance with good engineering practices. Such systems shall be designed and maintained so as to minimize flooding and ponding outside of areas designed to retain storm water and to reasonably provide for the drainage of normally anticipated rainfall events.</w:t>
      </w:r>
    </w:p>
    <w:p>
      <w:pPr>
        <w:spacing w:before="0" w:after="0"/>
        <w:ind w:left="120"/>
        <w:jc w:val="both"/>
      </w:pP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 xml:space="preserve">Storm water drainage systems shall be inspected on a routine basis to identify and correct the blockage or obstruction of intake structures. The frequency of such inspections shall be based upon the utility’s experience and be pursuant to tariffs approved by the commission. </w:t>
      </w:r>
    </w:p>
    <w:p>
      <w:pPr>
        <w:spacing w:before="0" w:after="0"/>
        <w:ind w:left="120"/>
        <w:jc w:val="both"/>
      </w:pP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color w:val="000000"/>
          <w:sz w:val="22"/>
        </w:rPr>
        <w:t xml:space="preserve">Connections. </w:t>
      </w:r>
      <w:r>
        <w:rPr>
          <w:rFonts w:ascii="Times New Roman" w:hAnsi="Times New Roman"/>
          <w:b w:val="false"/>
          <w:i w:val="false"/>
          <w:color w:val="000000"/>
          <w:sz w:val="22"/>
        </w:rPr>
        <w:t>Utilities providing piped storm water drainage shall control the installation and maintenance of the piped connection up to and including all storm water intakes. Connections shall be adequate to receive all storm water drainage from properties upgradient of the storm water drainage connection unless other upgradient connections are provided. Connections shall be pursuant to tariffs approved by the commission.</w:t>
      </w:r>
    </w:p>
    <w:p>
      <w:pPr>
        <w:spacing w:before="0" w:after="0"/>
        <w:ind w:left="120"/>
        <w:jc w:val="both"/>
      </w:pPr>
      <w:r>
        <w:rPr>
          <w:rFonts w:ascii="Times New Roman" w:hAnsi="Times New Roman"/>
          <w:b/>
          <w:i w:val="false"/>
          <w:color w:val="000000"/>
          <w:sz w:val="22"/>
        </w:rPr>
        <w:t>21.18(4)</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Rates for storm water drainage service provided by a utility may be based upon the acreage drained, or by some other method pursuant to tariffs approved by the commission. </w:t>
      </w:r>
    </w:p>
    <w:p>
      <w:pPr>
        <w:spacing w:before="0" w:after="0"/>
        <w:ind w:left="120"/>
        <w:jc w:val="both"/>
      </w:pPr>
      <w:r>
        <w:rPr>
          <w:rFonts w:ascii="Times New Roman" w:hAnsi="Times New Roman"/>
          <w:b/>
          <w:i w:val="false"/>
          <w:color w:val="000000"/>
          <w:sz w:val="22"/>
        </w:rPr>
        <w:t>21.18(5)</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Storm water drainage service shall be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199—21.19</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storm water drainage service. </w:t>
      </w:r>
    </w:p>
    <w:p>
      <w:pPr>
        <w:spacing w:before="0" w:after="0"/>
        <w:ind w:left="120"/>
        <w:jc w:val="both"/>
      </w:pP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up-to-date maps, plans, or records of its entire storm water drainage system.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inform the customer as to the method of computing the customer’s bill.</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customers affected by a change in rates or rate classification as directed in the commission rules of practice and procedures.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Inquiries for information or complaints to a utility shall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which will enable the customer to reach that employee again if needed.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877-565-4450; by writing to 1375 E. Court Avenue, Des Moines, Iowa 50319-0069; or by email to </w:t>
      </w:r>
      <w:hyperlink r:id="rId63">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bill insert or notice on the bill will be provided no less than annually. Any utility which does not use the standard form contained herein shall file its proposed form in its tariff for approval. A utility which bills by postcard may place an advertisement in a local newspaper of general circulation or a customer newsletter instead of a mailing. The advertisement must be of a type size that is easily legible and conspicuous and must contain the information set forth above.</w:t>
      </w:r>
    </w:p>
    <w:p>
      <w:pPr>
        <w:spacing w:before="0" w:after="0"/>
        <w:ind w:left="120"/>
        <w:jc w:val="both"/>
      </w:pP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No written notice is required to be given of a deposit required as a prerequisite for commencing initial service.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shall issue a receipt of deposit to each customer from whom a deposit is received.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utility to each customer required to make a deposit.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shall be refunded upon termination of the customer’s service.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64">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65">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199—21.20</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storm water drainage service. </w:t>
      </w:r>
    </w:p>
    <w:p>
      <w:pPr>
        <w:spacing w:before="0" w:after="0"/>
        <w:ind w:left="120"/>
        <w:jc w:val="both"/>
      </w:pP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utility shall notify the commission about any incident involving: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non-storm water discharge from the storm water drainage system;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flood event affecting the storm water drainage system;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cyberattack affecting the well-being of the utility, its customers, or the environment; or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event that causes serious adverse impact on the health of people or the environment or interrupts service to the customer.</w:t>
      </w:r>
    </w:p>
    <w:p>
      <w:pPr>
        <w:spacing w:before="0" w:after="0"/>
        <w:ind w:left="120"/>
        <w:jc w:val="both"/>
      </w:pP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66">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shall leave the telephone number of a person who can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of the incident.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the incident.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deaths or personal injuries and the extent of those injuries, if 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services interrupted.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shall notify the commission when the incident has ended and normal storm water drainage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199—21.21</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storm water drainage service assets. </w:t>
      </w:r>
      <w:r>
        <w:rPr>
          <w:rFonts w:ascii="Times New Roman" w:hAnsi="Times New Roman"/>
          <w:b w:val="false"/>
          <w:i w:val="false"/>
          <w:color w:val="000000"/>
          <w:sz w:val="22"/>
        </w:rPr>
        <w:t xml:space="preserve">A utility acquiring the whole or any substantial part of a storm water drainage system with a fair market value of $500,000 or more from a non-rate-regulated entity described in Iowa Code section </w:t>
      </w:r>
      <w:hyperlink r:id="rId67">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4873C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476.6(18)</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6/11/68; amended 6/27/75]</w:t>
      </w:r>
    </w:p>
    <w:p>
      <w:pPr>
        <w:spacing w:before="0" w:after="0"/>
        <w:ind w:left="120"/>
        <w:jc w:val="center"/>
      </w:pPr>
      <w:r>
        <w:rPr>
          <w:rFonts w:ascii="Times New Roman" w:hAnsi="Times New Roman"/>
          <w:b w:val="false"/>
          <w:i w:val="false"/>
          <w:color w:val="000000"/>
          <w:sz w:val="21"/>
        </w:rPr>
        <w:t>[Filed 9/30/77, Notice 6/9/77—published 10/19/77, effective 11/23/77]</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9/21/84, Notice 7/18/84—published 10/10/84, effective 11/14/84]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8/31/90, Notice 4/4/90—published 9/19/90, effective 10/24/90]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1959C</w:t>
      </w:r>
      <w:r>
        <w:rPr>
          <w:rFonts w:ascii="Times New Roman" w:hAnsi="Times New Roman"/>
          <w:b w:val="false"/>
          <w:i w:val="false"/>
          <w:color w:val="000000"/>
          <w:sz w:val="21"/>
        </w:rPr>
        <w:t xml:space="preserve"> (Notice ARC 1848C,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4873C</w:t>
      </w:r>
      <w:r>
        <w:rPr>
          <w:rFonts w:ascii="Times New Roman" w:hAnsi="Times New Roman"/>
          <w:b w:val="false"/>
          <w:i w:val="false"/>
          <w:color w:val="000000"/>
          <w:sz w:val="21"/>
        </w:rPr>
        <w:t xml:space="preserve"> (Notice ARC 4536C, IAB 7/17/19)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1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21.3(12)</w:t>
      </w:r>
      <w:r>
        <w:rPr>
          <w:rFonts w:ascii="Times New Roman" w:hAnsi="Times New Roman"/>
          <w:b w:val="false"/>
          <w:i/>
          <w:color w:val="000000"/>
          <w:sz w:val="16"/>
        </w:rPr>
        <w:t>“a,” “b”</w:t>
      </w:r>
      <w:r>
        <w:rPr>
          <w:rFonts w:ascii="Times New Roman" w:hAnsi="Times New Roman"/>
          <w:b w:val="false"/>
          <w:i w:val="false"/>
          <w:color w:val="000000"/>
          <w:sz w:val="16"/>
        </w:rPr>
        <w:t xml:space="preserve">(1) and (3), and </w:t>
      </w:r>
      <w:r>
        <w:rPr>
          <w:rFonts w:ascii="Times New Roman" w:hAnsi="Times New Roman"/>
          <w:b w:val="false"/>
          <w:i/>
          <w:color w:val="000000"/>
          <w:sz w:val="16"/>
        </w:rPr>
        <w:t>“e”</w:t>
      </w:r>
      <w:r>
        <w:rPr>
          <w:rFonts w:ascii="Times New Roman" w:hAnsi="Times New Roman"/>
          <w:b w:val="false"/>
          <w:i w:val="false"/>
          <w:color w:val="000000"/>
          <w:sz w:val="16"/>
        </w:rPr>
        <w:t xml:space="preserve"> delayed 70 days by the Administrative Rules Review Committee.</w:t>
      </w:r>
    </w:p>
    <w:p>
      <w:pPr>
        <w:numPr>
          <w:ilvl w:val="0"/>
          <w:numId w:val="1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21.4(2)</w:t>
      </w:r>
      <w:r>
        <w:rPr>
          <w:rFonts w:ascii="Times New Roman" w:hAnsi="Times New Roman"/>
          <w:b w:val="false"/>
          <w:i/>
          <w:color w:val="000000"/>
          <w:sz w:val="16"/>
        </w:rPr>
        <w:t>“e”</w:t>
      </w:r>
      <w:r>
        <w:rPr>
          <w:rFonts w:ascii="Times New Roman" w:hAnsi="Times New Roman"/>
          <w:b w:val="false"/>
          <w:i w:val="false"/>
          <w:color w:val="000000"/>
          <w:sz w:val="16"/>
        </w:rPr>
        <w:t xml:space="preserve"> delayed until the adjournment of the 1994 Session of the General Assembly pursuant to Iowa Code section </w:t>
      </w:r>
      <w:hyperlink r:id="rId75">
        <w:r>
          <w:rPr>
            <w:rStyle w:val="Hyperlink"/>
            <w:rFonts w:ascii="Times New Roman" w:hAnsi="Times New Roman"/>
            <w:b w:val="false"/>
            <w:i w:val="false"/>
            <w:color w:val="000000"/>
            <w:sz w:val="16"/>
          </w:rPr>
          <w:t>17A.8(9)</w:t>
        </w:r>
      </w:hyperlink>
      <w:r>
        <w:rPr>
          <w:rFonts w:ascii="Times New Roman" w:hAnsi="Times New Roman"/>
          <w:b w:val="false"/>
          <w:i w:val="false"/>
          <w:color w:val="000000"/>
          <w:sz w:val="16"/>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2"/>
      <w:numFmt w:val="none"/>
      <w:lvlText w:val="%1."/>
      <w:lvlJc w:val="left"/>
      <w:pPr>
        <w:ind w:left="400" w:hanging="360"/>
      </w:pPr>
    </w:lvl>
  </w:abstractNum>
  <w:abstractNum w:abstractNumId="5">
    <w:multiLevelType w:val="multilevel"/>
    <w:lvl w:ilvl="0">
      <w:start w:val="3"/>
      <w:numFmt w:val="none"/>
      <w:lvlText w:val="%1."/>
      <w:lvlJc w:val="left"/>
      <w:pPr>
        <w:ind w:left="400" w:hanging="360"/>
      </w:pPr>
    </w:lvl>
  </w:abstractNum>
  <w:abstractNum w:abstractNumId="6">
    <w:multiLevelType w:val="multilevel"/>
    <w:lvl w:ilvl="0">
      <w:start w:val="1"/>
      <w:numFmt w:val="none"/>
      <w:lvlText w:val="%1."/>
      <w:lvlJc w:val="left"/>
      <w:pPr>
        <w:ind w:left="400" w:hanging="360"/>
      </w:pPr>
    </w:lvl>
  </w:abstractNum>
  <w:abstractNum w:abstractNumId="7">
    <w:multiLevelType w:val="multilevel"/>
    <w:lvl w:ilvl="0">
      <w:start w:val="5"/>
      <w:numFmt w:val="none"/>
      <w:lvlText w:val="%1."/>
      <w:lvlJc w:val="left"/>
      <w:pPr>
        <w:ind w:left="400" w:hanging="360"/>
      </w:pPr>
    </w:lvl>
    <w:lvl w:ilvl="1">
      <w:start w:val="1"/>
      <w:numFmt w:val="none"/>
      <w:lvlText w:val="%2."/>
      <w:lvlJc w:val="left"/>
      <w:pPr>
        <w:ind w:left="400" w:hanging="360"/>
      </w:pPr>
    </w:lvl>
  </w:abstractNum>
  <w:abstractNum w:abstractNumId="8">
    <w:multiLevelType w:val="multilevel"/>
    <w:lvl w:ilvl="0">
      <w:start w:val="6"/>
      <w:numFmt w:val="none"/>
      <w:lvlText w:val="%1."/>
      <w:lvlJc w:val="left"/>
      <w:pPr>
        <w:ind w:left="400" w:hanging="360"/>
      </w:pPr>
    </w:lvl>
    <w:lvl w:ilvl="1">
      <w:start w:val="1"/>
      <w:numFmt w:val="none"/>
      <w:lvlText w:val="%2."/>
      <w:lvlJc w:val="left"/>
      <w:pPr>
        <w:ind w:left="400" w:hanging="360"/>
      </w:pPr>
    </w:lvl>
  </w:abstractNum>
  <w:abstractNum w:abstractNumId="9">
    <w:multiLevelType w:val="multilevel"/>
    <w:lvl w:ilvl="0">
      <w:start w:val="7"/>
      <w:numFmt w:val="none"/>
      <w:lvlText w:val="%1."/>
      <w:lvlJc w:val="left"/>
      <w:pPr>
        <w:ind w:left="400" w:hanging="360"/>
      </w:pPr>
    </w:lvl>
    <w:lvl w:ilvl="1">
      <w:start w:val="1"/>
      <w:numFmt w:val="none"/>
      <w:lvlText w:val="%2."/>
      <w:lvlJc w:val="left"/>
      <w:pPr>
        <w:ind w:left="400" w:hanging="360"/>
      </w:pPr>
    </w:lvl>
  </w:abstractNum>
  <w:abstractNum w:abstractNumId="10">
    <w:multiLevelType w:val="multilevel"/>
    <w:lvl w:ilvl="0">
      <w:start w:val="8"/>
      <w:numFmt w:val="none"/>
      <w:lvlText w:val="%1."/>
      <w:lvlJc w:val="left"/>
      <w:pPr>
        <w:ind w:left="400" w:hanging="360"/>
      </w:pPr>
    </w:lvl>
    <w:lvl w:ilvl="1">
      <w:start w:val="1"/>
      <w:numFmt w:val="none"/>
      <w:lvlText w:val="%2."/>
      <w:lvlJc w:val="left"/>
      <w:pPr>
        <w:ind w:left="400" w:hanging="360"/>
      </w:pPr>
    </w:lvl>
  </w:abstractNum>
  <w:abstractNum w:abstractNumId="11">
    <w:multiLevelType w:val="multilevel"/>
    <w:lvl w:ilvl="0">
      <w:start w:val="1"/>
      <w:numFmt w:val="none"/>
      <w:lvlText w:val="%1."/>
      <w:lvlJc w:val="left"/>
      <w:pPr>
        <w:ind w:left="400" w:hanging="360"/>
      </w:pPr>
    </w:lvl>
  </w:abstractNum>
  <w:abstractNum w:abstractNumId="12">
    <w:multiLevelType w:val="multilevel"/>
    <w:lvl w:ilvl="0">
      <w:start w:val="1"/>
      <w:numFmt w:val="none"/>
      <w:lvlText w:val="%1."/>
      <w:lvlJc w:val="left"/>
      <w:pPr>
        <w:ind w:left="400" w:hanging="360"/>
      </w:pPr>
    </w:lvl>
  </w:abstractNum>
  <w:abstractNum w:abstractNumId="13">
    <w:multiLevelType w:val="multilevel"/>
    <w:lvl w:ilvl="0">
      <w:start w:val="1"/>
      <w:numFmt w:val="none"/>
      <w:lvlText w:val="%1."/>
      <w:lvlJc w:val="left"/>
      <w:pPr>
        <w:ind w:left="400" w:hanging="360"/>
      </w:pPr>
    </w:lvl>
  </w:abstractNum>
  <w:abstractNum w:abstractNumId="1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ac/rule/199.21.2.pdf" Type="http://schemas.openxmlformats.org/officeDocument/2006/relationships/hyperlink" Id="rId5"/>
    <Relationship TargetMode="External" Target="https://www.legis.iowa.gov/docs/iac/rule/199.21.3.pdf" Type="http://schemas.openxmlformats.org/officeDocument/2006/relationships/hyperlink" Id="rId6"/>
    <Relationship TargetMode="External" Target="https://www.legis.iowa.gov/docs/iac/rule/199.21.10.pdf" Type="http://schemas.openxmlformats.org/officeDocument/2006/relationships/hyperlink" Id="rId7"/>
    <Relationship TargetMode="External" Target="https://www.legis.iowa.gov/docs/iac/rule/199.21.11.pdf" Type="http://schemas.openxmlformats.org/officeDocument/2006/relationships/hyperlink" Id="rId8"/>
    <Relationship TargetMode="External" Target="https://www.legis.iowa.gov/docs/iac/rule/199.21.17.pdf" Type="http://schemas.openxmlformats.org/officeDocument/2006/relationships/hyperlink" Id="rId9"/>
    <Relationship TargetMode="External" Target="https://www.legis.iowa.gov/docs/iac/rule/199.21.18.pdf" Type="http://schemas.openxmlformats.org/officeDocument/2006/relationships/hyperlink" Id="rId10"/>
    <Relationship TargetMode="External" Target="https://www.legis.iowa.gov/docs/iac/rule/199.21.21.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co/chapter/28E.pdf" Type="http://schemas.openxmlformats.org/officeDocument/2006/relationships/hyperlink" Id="rId13"/>
    <Relationship TargetMode="External" Target="https://www.legis.iowa.gov/docs/iac/rule/199.1.3.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ac/chapter/199.18.pdf" Type="http://schemas.openxmlformats.org/officeDocument/2006/relationships/hyperlink" Id="rId17"/>
    <Relationship TargetMode="External" Target="https://www.legis.iowa.gov/docs/iac/chapter/199.14.pdf" Type="http://schemas.openxmlformats.org/officeDocument/2006/relationships/hyperlink" Id="rId18"/>
    <Relationship TargetMode="External" Target="https://www.legis.iowa.gov/docs/iac/rule/199.21.4.pdf" Type="http://schemas.openxmlformats.org/officeDocument/2006/relationships/hyperlink" Id="rId19"/>
    <Relationship TargetMode="External" Target="https://www.legis.iowa.gov/docs/iac/rule/199.23.1.pdf" Type="http://schemas.openxmlformats.org/officeDocument/2006/relationships/hyperlink" Id="rId20"/>
    <Relationship TargetMode="External" Target="https://www.legis.iowa.gov/docs/iac/rule/199.21.5.pdf" Type="http://schemas.openxmlformats.org/officeDocument/2006/relationships/hyperlink" Id="rId21"/>
    <Relationship TargetMode="External" Target="https://www.legis.iowa.gov/docs/iac/rule/199.21.5.pdf" Type="http://schemas.openxmlformats.org/officeDocument/2006/relationships/hyperlink" Id="rId22"/>
    <Relationship TargetMode="External" Target="https://www.legis.iowa.gov/docs/iac/rule/199.21.3.pdf" Type="http://schemas.openxmlformats.org/officeDocument/2006/relationships/hyperlink" Id="rId23"/>
    <Relationship TargetMode="External" Target="mailto: customer@iuc.iowa.gov" Type="http://schemas.openxmlformats.org/officeDocument/2006/relationships/hyperlink" Id="rId24"/>
    <Relationship TargetMode="External" Target="https://www.legis.iowa.gov/docs/ico/chapter/556.pdf" Type="http://schemas.openxmlformats.org/officeDocument/2006/relationships/hyperlink" Id="rId25"/>
    <Relationship TargetMode="External" Target="https://www.legis.iowa.gov/docs/ico/chapter/556.pdf" Type="http://schemas.openxmlformats.org/officeDocument/2006/relationships/hyperlink" Id="rId26"/>
    <Relationship TargetMode="External" Target="https://www.legis.iowa.gov/docs/iac/rule/199.21.4.pdf" Type="http://schemas.openxmlformats.org/officeDocument/2006/relationships/hyperlink" Id="rId27"/>
    <Relationship TargetMode="External" Target="https://www.legis.iowa.gov/docs/iac/rule/199.21.4.pdf" Type="http://schemas.openxmlformats.org/officeDocument/2006/relationships/hyperlink" Id="rId28"/>
    <Relationship TargetMode="External" Target="https://www.legis.iowa.gov/docs/iac/rule/199.21.4.pdf" Type="http://schemas.openxmlformats.org/officeDocument/2006/relationships/hyperlink" Id="rId29"/>
    <Relationship TargetMode="External" Target="https://www.legis.iowa.gov/docs/iac/rule/199.21.4.pdf" Type="http://schemas.openxmlformats.org/officeDocument/2006/relationships/hyperlink" Id="rId30"/>
    <Relationship TargetMode="External" Target="https://www.legis.iowa.gov/docs/iac/rule/199.21.4.pdf" Type="http://schemas.openxmlformats.org/officeDocument/2006/relationships/hyperlink" Id="rId31"/>
    <Relationship TargetMode="External" Target="mailto: customer@iuc.iowa.gov" Type="http://schemas.openxmlformats.org/officeDocument/2006/relationships/hyperlink" Id="rId32"/>
    <Relationship TargetMode="External" Target="https://www.legis.iowa.gov/docs/iac/rule/199.21.4.pdf" Type="http://schemas.openxmlformats.org/officeDocument/2006/relationships/hyperlink" Id="rId33"/>
    <Relationship TargetMode="External" Target="https://www.legis.iowa.gov/docs/iac/rule/199.21.4.pdf" Type="http://schemas.openxmlformats.org/officeDocument/2006/relationships/hyperlink" Id="rId34"/>
    <Relationship TargetMode="External" Target="https://www.legis.iowa.gov/docs/iac/rule/199.21.4.pdf" Type="http://schemas.openxmlformats.org/officeDocument/2006/relationships/hyperlink" Id="rId35"/>
    <Relationship TargetMode="External" Target="https://www.legis.iowa.gov/docs/iac/rule/199.21.6.pdf" Type="http://schemas.openxmlformats.org/officeDocument/2006/relationships/hyperlink" Id="rId36"/>
    <Relationship TargetMode="External" Target="https://www.legis.iowa.gov/docs/iac/rule/199.21.6.pdf" Type="http://schemas.openxmlformats.org/officeDocument/2006/relationships/hyperlink" Id="rId37"/>
    <Relationship TargetMode="External" Target="https://www.legis.iowa.gov/docs/iac/rule/199.21.8.pdf" Type="http://schemas.openxmlformats.org/officeDocument/2006/relationships/hyperlink" Id="rId38"/>
    <Relationship TargetMode="External" Target="https://www.legis.iowa.gov/docs/ico/chapter/476.pdf" Type="http://schemas.openxmlformats.org/officeDocument/2006/relationships/hyperlink" Id="rId39"/>
    <Relationship TargetMode="External" Target="https://www.legis.iowa.gov/docs/iac/rule/199.21.8.pdf" Type="http://schemas.openxmlformats.org/officeDocument/2006/relationships/hyperlink" Id="rId40"/>
    <Relationship TargetMode="External" Target="https://www.legis.iowa.gov/docs/iac/chapter/199.7.pdf" Type="http://schemas.openxmlformats.org/officeDocument/2006/relationships/hyperlink" Id="rId41"/>
    <Relationship TargetMode="External" Target="mailto: dutyofficer@iuc.iowa.gov" Type="http://schemas.openxmlformats.org/officeDocument/2006/relationships/hyperlink" Id="rId42"/>
    <Relationship TargetMode="External" Target="https://www.legis.iowa.gov/docs/ico/chapter/476.pdf" Type="http://schemas.openxmlformats.org/officeDocument/2006/relationships/hyperlink" Id="rId43"/>
    <Relationship TargetMode="External" Target="https://www.legis.iowa.gov/docs/iac/rule/199.21.3.pdf" Type="http://schemas.openxmlformats.org/officeDocument/2006/relationships/hyperlink" Id="rId44"/>
    <Relationship TargetMode="External" Target="https://www.legis.iowa.gov/docs/iac/rule/199.21.3.pdf" Type="http://schemas.openxmlformats.org/officeDocument/2006/relationships/hyperlink" Id="rId45"/>
    <Relationship TargetMode="External" Target="https://www.legis.iowa.gov/docs/iac/rule/199.21.11.pdf" Type="http://schemas.openxmlformats.org/officeDocument/2006/relationships/hyperlink" Id="rId46"/>
    <Relationship TargetMode="External" Target="https://www.legis.iowa.gov/docs/iac/rule/199.21.11.pdf" Type="http://schemas.openxmlformats.org/officeDocument/2006/relationships/hyperlink" Id="rId47"/>
    <Relationship TargetMode="External" Target="https://www.legis.iowa.gov/docs/iac/rule/199.21.11.pdf" Type="http://schemas.openxmlformats.org/officeDocument/2006/relationships/hyperlink" Id="rId48"/>
    <Relationship TargetMode="External" Target="https://www.legis.iowa.gov/docs/iac/rule/199.21.11.pdf" Type="http://schemas.openxmlformats.org/officeDocument/2006/relationships/hyperlink" Id="rId49"/>
    <Relationship TargetMode="External" Target="https://www.legis.iowa.gov/docs/iac/rule/199.21.13.pdf" Type="http://schemas.openxmlformats.org/officeDocument/2006/relationships/hyperlink" Id="rId50"/>
    <Relationship TargetMode="External" Target="https://www.legis.iowa.gov/docs/iac/rule/199.21.13.pdf" Type="http://schemas.openxmlformats.org/officeDocument/2006/relationships/hyperlink" Id="rId51"/>
    <Relationship TargetMode="External" Target="https://www.legis.iowa.gov/docs/iac/rule/199.21.11.pdf" Type="http://schemas.openxmlformats.org/officeDocument/2006/relationships/hyperlink" Id="rId52"/>
    <Relationship TargetMode="External" Target="mailto: customer@iuc.iowa.gov" Type="http://schemas.openxmlformats.org/officeDocument/2006/relationships/hyperlink" Id="rId53"/>
    <Relationship TargetMode="External" Target="https://www.legis.iowa.gov/docs/ico/chapter/556.pdf" Type="http://schemas.openxmlformats.org/officeDocument/2006/relationships/hyperlink" Id="rId54"/>
    <Relationship TargetMode="External" Target="https://www.legis.iowa.gov/docs/ico/chapter/556.pdf" Type="http://schemas.openxmlformats.org/officeDocument/2006/relationships/hyperlink" Id="rId55"/>
    <Relationship TargetMode="External" Target="https://www.legis.iowa.gov/docs/iac/rule/199.21.12.pdf" Type="http://schemas.openxmlformats.org/officeDocument/2006/relationships/hyperlink" Id="rId56"/>
    <Relationship TargetMode="External" Target="https://www.legis.iowa.gov/docs/iac/rule/199.21.12.pdf" Type="http://schemas.openxmlformats.org/officeDocument/2006/relationships/hyperlink" Id="rId57"/>
    <Relationship TargetMode="External" Target="https://www.legis.iowa.gov/docs/iac/rule/199.21.12.pdf" Type="http://schemas.openxmlformats.org/officeDocument/2006/relationships/hyperlink" Id="rId58"/>
    <Relationship TargetMode="External" Target="https://www.legis.iowa.gov/docs/iac/rule/199.21.6.pdf" Type="http://schemas.openxmlformats.org/officeDocument/2006/relationships/hyperlink" Id="rId59"/>
    <Relationship TargetMode="External" Target="https://www.legis.iowa.gov/docs/iac/rule/567.63.6.pdf" Type="http://schemas.openxmlformats.org/officeDocument/2006/relationships/hyperlink" Id="rId60"/>
    <Relationship TargetMode="External" Target="mailto: dutyofficer@iuc.iowa.gov" Type="http://schemas.openxmlformats.org/officeDocument/2006/relationships/hyperlink" Id="rId61"/>
    <Relationship TargetMode="External" Target="https://www.legis.iowa.gov/docs/ico/chapter/476.pdf" Type="http://schemas.openxmlformats.org/officeDocument/2006/relationships/hyperlink" Id="rId62"/>
    <Relationship TargetMode="External" Target="mailto: customer@iuc.iowa.gov" Type="http://schemas.openxmlformats.org/officeDocument/2006/relationships/hyperlink" Id="rId63"/>
    <Relationship TargetMode="External" Target="https://www.legis.iowa.gov/docs/ico/chapter/556.pdf" Type="http://schemas.openxmlformats.org/officeDocument/2006/relationships/hyperlink" Id="rId64"/>
    <Relationship TargetMode="External" Target="https://www.legis.iowa.gov/docs/ico/chapter/556.pdf" Type="http://schemas.openxmlformats.org/officeDocument/2006/relationships/hyperlink" Id="rId65"/>
    <Relationship TargetMode="External" Target="mailto: dutyofficer@iuc.iowa.gov" Type="http://schemas.openxmlformats.org/officeDocument/2006/relationships/hyperlink" Id="rId66"/>
    <Relationship TargetMode="External" Target="https://www.legis.iowa.gov/docs/ico/chapter/476.pdf" Type="http://schemas.openxmlformats.org/officeDocument/2006/relationships/hyperlink" Id="rId67"/>
    <Relationship TargetMode="External" Target="https://www.legis.iowa.gov/docs/ico/chapter/17A.pdf" Type="http://schemas.openxmlformats.org/officeDocument/2006/relationships/hyperlink" Id="rId68"/>
    <Relationship TargetMode="External" Target="https://www.legis.iowa.gov/docs/ico/chapter/474.pdf" Type="http://schemas.openxmlformats.org/officeDocument/2006/relationships/hyperlink" Id="rId69"/>
    <Relationship TargetMode="External" Target="https://www.legis.iowa.gov/docs/ico/chapter/476.pdf" Type="http://schemas.openxmlformats.org/officeDocument/2006/relationships/hyperlink" Id="rId70"/>
    <Relationship TargetMode="External" Target="https://www.legis.iowa.gov/docs/ico/chapter/476.pdf" Type="http://schemas.openxmlformats.org/officeDocument/2006/relationships/hyperlink" Id="rId71"/>
    <Relationship TargetMode="External" Target="https://www.legis.iowa.gov/docs/ico/chapter/476.pdf" Type="http://schemas.openxmlformats.org/officeDocument/2006/relationships/hyperlink" Id="rId72"/>
    <Relationship TargetMode="External" Target="https://www.legis.iowa.gov/docs/ico/chapter/476.pdf" Type="http://schemas.openxmlformats.org/officeDocument/2006/relationships/hyperlink" Id="rId73"/>
    <Relationship TargetMode="External" Target="https://www.legis.iowa.gov/docs/ico/chapter/546.pdf" Type="http://schemas.openxmlformats.org/officeDocument/2006/relationships/hyperlink" Id="rId74"/>
    <Relationship TargetMode="External" Target="https://www.legis.iowa.gov/docs/ico/chapter/17A.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