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18</w:t>
      </w:r>
    </w:p>
    <w:p>
      <w:pPr>
        <w:spacing w:before="0" w:after="0"/>
        <w:ind w:left="120"/>
        <w:jc w:val="center"/>
      </w:pPr>
      <w:r>
        <w:rPr>
          <w:rFonts w:ascii="Times New Roman" w:hAnsi="Times New Roman"/>
          <w:b w:val="false"/>
          <w:i w:val="false"/>
          <w:color w:val="000000"/>
          <w:sz w:val="21"/>
        </w:rPr>
        <w:t>UTILITY RECORDS</w:t>
      </w:r>
    </w:p>
    <w:p>
      <w:pPr>
        <w:spacing w:before="0" w:after="0"/>
        <w:ind w:left="120"/>
        <w:jc w:val="center"/>
      </w:pPr>
      <w:r>
        <w:rPr>
          <w:rFonts w:ascii="Times New Roman" w:hAnsi="Times New Roman"/>
          <w:b w:val="false"/>
          <w:i w:val="false"/>
          <w:color w:val="000000"/>
          <w:sz w:val="14"/>
        </w:rPr>
        <w:t>[Prior to 10/8/86, Commerce Commission[250]]</w:t>
      </w:r>
    </w:p>
    <w:p>
      <w:pPr>
        <w:spacing w:before="0" w:after="0"/>
        <w:ind w:left="120"/>
        <w:jc w:val="both"/>
      </w:pPr>
      <w:r>
        <w:rPr>
          <w:rFonts w:ascii="Times New Roman" w:hAnsi="Times New Roman"/>
          <w:b/>
          <w:i w:val="false"/>
          <w:color w:val="000000"/>
          <w:sz w:val="22"/>
        </w:rPr>
        <w:t>199—18.1</w:t>
      </w:r>
      <w:r>
        <w:rPr>
          <w:rFonts w:ascii="Times New Roman" w:hAnsi="Times New Roman"/>
          <w:b/>
          <w:i w:val="false"/>
          <w:color w:val="000000"/>
          <w:sz w:val="22"/>
        </w:rPr>
        <w:t xml:space="preserve">(476)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terms, when used in this chapter, have the meanings shown below:</w:t>
      </w:r>
    </w:p>
    <w:p>
      <w:pPr>
        <w:spacing w:before="0" w:after="0"/>
        <w:ind w:left="120"/>
        <w:jc w:val="both"/>
      </w:pPr>
      <w:r>
        <w:rPr>
          <w:rFonts w:ascii="Times New Roman" w:hAnsi="Times New Roman"/>
          <w:b w:val="false"/>
          <w:i/>
          <w:color w:val="000000"/>
          <w:sz w:val="22"/>
        </w:rPr>
        <w:t xml:space="preserve">“FERC rules” </w:t>
      </w:r>
      <w:r>
        <w:rPr>
          <w:rFonts w:ascii="Times New Roman" w:hAnsi="Times New Roman"/>
          <w:b w:val="false"/>
          <w:i w:val="false"/>
          <w:color w:val="000000"/>
          <w:sz w:val="22"/>
        </w:rPr>
        <w:t>means the rules and regulations of the Federal Energy Regulatory Commission under the Federal Power Act and Natural Gas Act as published in the CFR.</w:t>
      </w:r>
    </w:p>
    <w:p>
      <w:pPr>
        <w:spacing w:before="0" w:after="0"/>
        <w:ind w:left="120"/>
        <w:jc w:val="both"/>
      </w:pPr>
      <w:r>
        <w:rPr>
          <w:rFonts w:ascii="Times New Roman" w:hAnsi="Times New Roman"/>
          <w:b w:val="false"/>
          <w:i/>
          <w:color w:val="000000"/>
          <w:sz w:val="22"/>
        </w:rPr>
        <w:t xml:space="preserve">“NARUC guidelines” </w:t>
      </w:r>
      <w:r>
        <w:rPr>
          <w:rFonts w:ascii="Times New Roman" w:hAnsi="Times New Roman"/>
          <w:b w:val="false"/>
          <w:i w:val="false"/>
          <w:color w:val="000000"/>
          <w:sz w:val="22"/>
        </w:rPr>
        <w:t>means the guidelines published by the National Association of Regulatory Utility Commissioners.</w:t>
      </w:r>
    </w:p>
    <w:p>
      <w:pPr>
        <w:spacing w:before="0" w:after="0"/>
        <w:ind w:left="120"/>
        <w:jc w:val="both"/>
      </w:pPr>
      <w:r>
        <w:rPr>
          <w:rFonts w:ascii="Times New Roman" w:hAnsi="Times New Roman"/>
          <w:b w:val="false"/>
          <w:i/>
          <w:color w:val="000000"/>
          <w:sz w:val="22"/>
        </w:rPr>
        <w:t xml:space="preserve">“RUS rules” </w:t>
      </w:r>
      <w:r>
        <w:rPr>
          <w:rFonts w:ascii="Times New Roman" w:hAnsi="Times New Roman"/>
          <w:b w:val="false"/>
          <w:i w:val="false"/>
          <w:color w:val="000000"/>
          <w:sz w:val="22"/>
        </w:rPr>
        <w:t>means the rules and regulations of the Rural Utilities Service of the United States Department of Agriculture, 7 CFR Part 1767, applicable to electric and telephone borrowers of the RUS under the terms of their mortgages to the RUS.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7637C</w:t>
      </w:r>
      <w:r>
        <w:rPr>
          <w:rFonts w:ascii="Times New Roman" w:hAnsi="Times New Roman"/>
          <w:b w:val="false"/>
          <w:i w:val="false"/>
          <w:color w:val="000000"/>
          <w:sz w:val="16"/>
        </w:rPr>
        <w:t>, IAB 2/21/24, effective 3/27/24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199—18.2</w:t>
      </w:r>
      <w:r>
        <w:rPr>
          <w:rFonts w:ascii="Times New Roman" w:hAnsi="Times New Roman"/>
          <w:b/>
          <w:i w:val="false"/>
          <w:color w:val="000000"/>
          <w:sz w:val="22"/>
        </w:rPr>
        <w:t xml:space="preserve">(476) </w:t>
      </w:r>
      <w:r>
        <w:rPr>
          <w:rFonts w:ascii="Times New Roman" w:hAnsi="Times New Roman"/>
          <w:b/>
          <w:i w:val="false"/>
          <w:color w:val="000000"/>
          <w:sz w:val="22"/>
        </w:rPr>
        <w:t xml:space="preserve">Location of records. </w:t>
      </w:r>
      <w:r>
        <w:rPr>
          <w:rFonts w:ascii="Times New Roman" w:hAnsi="Times New Roman"/>
          <w:b w:val="false"/>
          <w:i w:val="false"/>
          <w:color w:val="000000"/>
          <w:sz w:val="22"/>
        </w:rPr>
        <w:t xml:space="preserve">All records kept pursuant to any rules of the commission, or necessary for the administration thereof, shall be kept or made accessible within this state unless otherwise authorized by the commission, including: </w:t>
      </w:r>
    </w:p>
    <w:p>
      <w:pPr>
        <w:spacing w:before="0" w:after="0"/>
        <w:ind w:left="120"/>
        <w:jc w:val="both"/>
      </w:pPr>
      <w:r>
        <w:rPr>
          <w:rFonts w:ascii="Times New Roman" w:hAnsi="Times New Roman"/>
          <w:b/>
          <w:i w:val="false"/>
          <w:color w:val="000000"/>
          <w:sz w:val="22"/>
        </w:rPr>
        <w:t>18.2(1)</w:t>
      </w:r>
      <w:r>
        <w:rPr>
          <w:rFonts w:ascii="Times New Roman" w:hAnsi="Times New Roman"/>
          <w:b w:val="false"/>
          <w:i w:val="false"/>
          <w:color w:val="000000"/>
          <w:sz w:val="22"/>
        </w:rPr>
        <w:t> </w:t>
      </w:r>
      <w:r>
        <w:rPr>
          <w:rFonts w:ascii="Times New Roman" w:hAnsi="Times New Roman"/>
          <w:b w:val="false"/>
          <w:i w:val="false"/>
          <w:color w:val="000000"/>
          <w:sz w:val="22"/>
        </w:rPr>
        <w:t>The utility’s tariffs.</w:t>
      </w:r>
    </w:p>
    <w:p>
      <w:pPr>
        <w:spacing w:before="0" w:after="0"/>
        <w:ind w:left="120"/>
        <w:jc w:val="both"/>
      </w:pPr>
      <w:r>
        <w:rPr>
          <w:rFonts w:ascii="Times New Roman" w:hAnsi="Times New Roman"/>
          <w:b/>
          <w:i w:val="false"/>
          <w:color w:val="000000"/>
          <w:sz w:val="22"/>
        </w:rPr>
        <w:t>18.2(2)</w:t>
      </w:r>
      <w:r>
        <w:rPr>
          <w:rFonts w:ascii="Times New Roman" w:hAnsi="Times New Roman"/>
          <w:b w:val="false"/>
          <w:i w:val="false"/>
          <w:color w:val="000000"/>
          <w:sz w:val="22"/>
        </w:rPr>
        <w:t> </w:t>
      </w:r>
      <w:r>
        <w:rPr>
          <w:rFonts w:ascii="Times New Roman" w:hAnsi="Times New Roman"/>
          <w:b w:val="false"/>
          <w:i w:val="false"/>
          <w:color w:val="000000"/>
          <w:sz w:val="22"/>
        </w:rPr>
        <w:t>A record of the telephone number and business location of the utility’s administrative, technical, and operating personnel within the state.</w:t>
      </w:r>
    </w:p>
    <w:p>
      <w:pPr>
        <w:spacing w:before="0" w:after="0"/>
        <w:ind w:left="120"/>
        <w:jc w:val="both"/>
      </w:pPr>
      <w:r>
        <w:rPr>
          <w:rFonts w:ascii="Times New Roman" w:hAnsi="Times New Roman"/>
          <w:b/>
          <w:i w:val="false"/>
          <w:color w:val="000000"/>
          <w:sz w:val="22"/>
        </w:rPr>
        <w:t>18.2(3)</w:t>
      </w:r>
      <w:r>
        <w:rPr>
          <w:rFonts w:ascii="Times New Roman" w:hAnsi="Times New Roman"/>
          <w:b w:val="false"/>
          <w:i w:val="false"/>
          <w:color w:val="000000"/>
          <w:sz w:val="22"/>
        </w:rPr>
        <w:t> </w:t>
      </w:r>
      <w:r>
        <w:rPr>
          <w:rFonts w:ascii="Times New Roman" w:hAnsi="Times New Roman"/>
          <w:b w:val="false"/>
          <w:i w:val="false"/>
          <w:color w:val="000000"/>
          <w:sz w:val="22"/>
        </w:rPr>
        <w:t>The most recent inspection report.</w:t>
      </w:r>
    </w:p>
    <w:p>
      <w:pPr>
        <w:spacing w:before="0" w:after="0"/>
        <w:ind w:left="120"/>
        <w:jc w:val="both"/>
      </w:pPr>
      <w:r>
        <w:rPr>
          <w:rFonts w:ascii="Times New Roman" w:hAnsi="Times New Roman"/>
          <w:b/>
          <w:i w:val="false"/>
          <w:color w:val="000000"/>
          <w:sz w:val="22"/>
        </w:rPr>
        <w:t>18.2(4)</w:t>
      </w:r>
      <w:r>
        <w:rPr>
          <w:rFonts w:ascii="Times New Roman" w:hAnsi="Times New Roman"/>
          <w:b w:val="false"/>
          <w:i w:val="false"/>
          <w:color w:val="000000"/>
          <w:sz w:val="22"/>
        </w:rPr>
        <w:t> </w:t>
      </w:r>
      <w:r>
        <w:rPr>
          <w:rFonts w:ascii="Times New Roman" w:hAnsi="Times New Roman"/>
          <w:b w:val="false"/>
          <w:i w:val="false"/>
          <w:color w:val="000000"/>
          <w:sz w:val="22"/>
        </w:rPr>
        <w:t>The most recent rate case filing.</w:t>
      </w:r>
    </w:p>
    <w:p>
      <w:pPr>
        <w:spacing w:before="0" w:after="0"/>
        <w:ind w:left="120"/>
        <w:jc w:val="both"/>
      </w:pPr>
      <w:r>
        <w:rPr>
          <w:rFonts w:ascii="Times New Roman" w:hAnsi="Times New Roman"/>
          <w:b/>
          <w:i w:val="false"/>
          <w:color w:val="000000"/>
          <w:sz w:val="22"/>
        </w:rPr>
        <w:t>18.2(5)</w:t>
      </w:r>
      <w:r>
        <w:rPr>
          <w:rFonts w:ascii="Times New Roman" w:hAnsi="Times New Roman"/>
          <w:b w:val="false"/>
          <w:i w:val="false"/>
          <w:color w:val="000000"/>
          <w:sz w:val="22"/>
        </w:rPr>
        <w:t> </w:t>
      </w:r>
      <w:r>
        <w:rPr>
          <w:rFonts w:ascii="Times New Roman" w:hAnsi="Times New Roman"/>
          <w:b w:val="false"/>
          <w:i w:val="false"/>
          <w:color w:val="000000"/>
          <w:sz w:val="22"/>
        </w:rPr>
        <w:t>Annual reports for the past five years.</w:t>
      </w:r>
    </w:p>
    <w:p>
      <w:pPr>
        <w:spacing w:before="0" w:after="0"/>
        <w:ind w:left="120"/>
        <w:jc w:val="both"/>
      </w:pPr>
      <w:r>
        <w:rPr>
          <w:rFonts w:ascii="Times New Roman" w:hAnsi="Times New Roman"/>
          <w:b/>
          <w:i w:val="false"/>
          <w:color w:val="000000"/>
          <w:sz w:val="22"/>
        </w:rPr>
        <w:t>18.2(6)</w:t>
      </w:r>
      <w:r>
        <w:rPr>
          <w:rFonts w:ascii="Times New Roman" w:hAnsi="Times New Roman"/>
          <w:b w:val="false"/>
          <w:i w:val="false"/>
          <w:color w:val="000000"/>
          <w:sz w:val="22"/>
        </w:rPr>
        <w:t> </w:t>
      </w:r>
      <w:r>
        <w:rPr>
          <w:rFonts w:ascii="Times New Roman" w:hAnsi="Times New Roman"/>
          <w:b w:val="false"/>
          <w:i w:val="false"/>
          <w:color w:val="000000"/>
          <w:sz w:val="22"/>
        </w:rPr>
        <w:t>Shareholder’s reports for the past five years.</w:t>
      </w:r>
    </w:p>
    <w:p>
      <w:pPr>
        <w:spacing w:before="0" w:after="0"/>
        <w:ind w:left="120"/>
        <w:jc w:val="both"/>
      </w:pPr>
      <w:r>
        <w:rPr>
          <w:rFonts w:ascii="Times New Roman" w:hAnsi="Times New Roman"/>
          <w:b/>
          <w:i w:val="false"/>
          <w:color w:val="000000"/>
          <w:sz w:val="22"/>
        </w:rPr>
        <w:t>18.2(7)</w:t>
      </w:r>
      <w:r>
        <w:rPr>
          <w:rFonts w:ascii="Times New Roman" w:hAnsi="Times New Roman"/>
          <w:b w:val="false"/>
          <w:i w:val="false"/>
          <w:color w:val="000000"/>
          <w:sz w:val="22"/>
        </w:rPr>
        <w:t> </w:t>
      </w:r>
      <w:r>
        <w:rPr>
          <w:rFonts w:ascii="Times New Roman" w:hAnsi="Times New Roman"/>
          <w:b w:val="false"/>
          <w:i w:val="false"/>
          <w:color w:val="000000"/>
          <w:sz w:val="22"/>
        </w:rPr>
        <w:t>Form IG-1 (gas utilities).</w:t>
      </w:r>
    </w:p>
    <w:p>
      <w:pPr>
        <w:spacing w:before="0" w:after="0"/>
        <w:ind w:left="120"/>
        <w:jc w:val="both"/>
      </w:pPr>
      <w:r>
        <w:rPr>
          <w:rFonts w:ascii="Times New Roman" w:hAnsi="Times New Roman"/>
          <w:b/>
          <w:i w:val="false"/>
          <w:color w:val="000000"/>
          <w:sz w:val="22"/>
        </w:rPr>
        <w:t>18.2(8)</w:t>
      </w:r>
      <w:r>
        <w:rPr>
          <w:rFonts w:ascii="Times New Roman" w:hAnsi="Times New Roman"/>
          <w:b w:val="false"/>
          <w:i w:val="false"/>
          <w:color w:val="000000"/>
          <w:sz w:val="22"/>
        </w:rPr>
        <w:t> </w:t>
      </w:r>
      <w:r>
        <w:rPr>
          <w:rFonts w:ascii="Times New Roman" w:hAnsi="Times New Roman"/>
          <w:b w:val="false"/>
          <w:i w:val="false"/>
          <w:color w:val="000000"/>
          <w:sz w:val="22"/>
        </w:rPr>
        <w:t>Form IE-1 (electric utilities).</w:t>
      </w:r>
    </w:p>
    <w:p>
      <w:pPr>
        <w:spacing w:before="0" w:after="0"/>
        <w:ind w:left="120"/>
        <w:jc w:val="both"/>
      </w:pPr>
      <w:r>
        <w:rPr>
          <w:rFonts w:ascii="Times New Roman" w:hAnsi="Times New Roman"/>
          <w:b/>
          <w:i w:val="false"/>
          <w:color w:val="000000"/>
          <w:sz w:val="22"/>
        </w:rPr>
        <w:t>18.2(9)</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location of other books, records, and accounts to be maintained or made accessible pursuant to statute or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7637C</w:t>
      </w:r>
      <w:r>
        <w:rPr>
          <w:rFonts w:ascii="Times New Roman" w:hAnsi="Times New Roman"/>
          <w:b w:val="false"/>
          <w:i w:val="false"/>
          <w:color w:val="000000"/>
          <w:sz w:val="16"/>
        </w:rPr>
        <w:t>, IAB 2/21/24, effective 3/27/24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199—18.3</w:t>
      </w:r>
      <w:r>
        <w:rPr>
          <w:rFonts w:ascii="Times New Roman" w:hAnsi="Times New Roman"/>
          <w:b/>
          <w:i w:val="false"/>
          <w:color w:val="000000"/>
          <w:sz w:val="22"/>
        </w:rPr>
        <w:t xml:space="preserve">(476) </w:t>
      </w:r>
      <w:r>
        <w:rPr>
          <w:rFonts w:ascii="Times New Roman" w:hAnsi="Times New Roman"/>
          <w:b/>
          <w:i w:val="false"/>
          <w:color w:val="000000"/>
          <w:sz w:val="22"/>
        </w:rPr>
        <w:t xml:space="preserve">Availability of records. </w:t>
      </w:r>
      <w:r>
        <w:rPr>
          <w:rFonts w:ascii="Times New Roman" w:hAnsi="Times New Roman"/>
          <w:b w:val="false"/>
          <w:i w:val="false"/>
          <w:color w:val="000000"/>
          <w:sz w:val="22"/>
        </w:rPr>
        <w:t xml:space="preserve">All records kept pursuant to any rules of the commission that are of a general corporate nature or otherwise pertain to the utility’s operations as a whole shall be made available for examination by the commission during normal business hours, unless otherwise authorized by the commission. Upon receipt by a utility of a formal request in writing from the commission for records or information pertaining to records required by any commission rule, the utility shall provide the requested information to the commission within 15 days of receiving the written request from the commission unless the utility files an objection to the request or a request for an extension of time within seven days of the utility’s receipt of the information request. The objection or request for extension of time shall be filed in writing and state the concise grounds for relief. If the commission finds that the objection or request for extension of time does not have merit, the information originally requested shall be provided immediately upon receiving notice of the commission’s decision.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7637C</w:t>
      </w:r>
      <w:r>
        <w:rPr>
          <w:rFonts w:ascii="Times New Roman" w:hAnsi="Times New Roman"/>
          <w:b w:val="false"/>
          <w:i w:val="false"/>
          <w:color w:val="000000"/>
          <w:sz w:val="16"/>
        </w:rPr>
        <w:t>, IAB 2/21/24, effective 3/27/24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199—18.4</w:t>
      </w:r>
      <w:r>
        <w:rPr>
          <w:rFonts w:ascii="Times New Roman" w:hAnsi="Times New Roman"/>
          <w:b/>
          <w:i w:val="false"/>
          <w:color w:val="000000"/>
          <w:sz w:val="22"/>
        </w:rPr>
        <w:t xml:space="preserve">(476) </w:t>
      </w:r>
      <w:r>
        <w:rPr>
          <w:rFonts w:ascii="Times New Roman" w:hAnsi="Times New Roman"/>
          <w:b/>
          <w:i w:val="false"/>
          <w:color w:val="000000"/>
          <w:sz w:val="22"/>
        </w:rPr>
        <w:t xml:space="preserve">Electric utilities other than rural electric cooperatives. </w:t>
      </w:r>
    </w:p>
    <w:p>
      <w:pPr>
        <w:spacing w:before="0" w:after="0"/>
        <w:ind w:left="120"/>
        <w:jc w:val="both"/>
      </w:pPr>
      <w:r>
        <w:rPr>
          <w:rFonts w:ascii="Times New Roman" w:hAnsi="Times New Roman"/>
          <w:b/>
          <w:i w:val="false"/>
          <w:color w:val="000000"/>
          <w:sz w:val="22"/>
        </w:rPr>
        <w:t>18.4(1)</w:t>
      </w:r>
      <w:r>
        <w:rPr>
          <w:rFonts w:ascii="Times New Roman" w:hAnsi="Times New Roman"/>
          <w:b w:val="false"/>
          <w:i w:val="false"/>
          <w:color w:val="000000"/>
          <w:sz w:val="22"/>
        </w:rPr>
        <w:t> </w:t>
      </w:r>
      <w:r>
        <w:rPr>
          <w:rFonts w:ascii="Times New Roman" w:hAnsi="Times New Roman"/>
          <w:b w:val="false"/>
          <w:i/>
          <w:color w:val="000000"/>
          <w:sz w:val="22"/>
        </w:rPr>
        <w:t xml:space="preserve">Units of property. </w:t>
      </w:r>
      <w:r>
        <w:rPr>
          <w:rFonts w:ascii="Times New Roman" w:hAnsi="Times New Roman"/>
          <w:b w:val="false"/>
          <w:i w:val="false"/>
          <w:color w:val="000000"/>
          <w:sz w:val="22"/>
        </w:rPr>
        <w:t xml:space="preserve">Rate-regulated electric utilities shall maintain an accounting system for Units of Property in Accounting for Additions and Retirements of Electric Plant in accordance with the “Uniform systems of accounts—electric rules” rule in </w:t>
      </w:r>
      <w:hyperlink r:id="rId4">
        <w:r>
          <w:rPr>
            <w:rStyle w:val="Hyperlink"/>
            <w:rFonts w:ascii="Times New Roman" w:hAnsi="Times New Roman"/>
            <w:b w:val="false"/>
            <w:i w:val="false"/>
            <w:color w:val="000000"/>
            <w:sz w:val="22"/>
          </w:rPr>
          <w:t>199—Chapter 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18.4(2)</w:t>
      </w:r>
      <w:r>
        <w:rPr>
          <w:rFonts w:ascii="Times New Roman" w:hAnsi="Times New Roman"/>
          <w:b w:val="false"/>
          <w:i w:val="false"/>
          <w:color w:val="000000"/>
          <w:sz w:val="22"/>
        </w:rPr>
        <w:t> </w:t>
      </w:r>
      <w:r>
        <w:rPr>
          <w:rFonts w:ascii="Times New Roman" w:hAnsi="Times New Roman"/>
          <w:b w:val="false"/>
          <w:i/>
          <w:color w:val="000000"/>
          <w:sz w:val="22"/>
        </w:rPr>
        <w:t xml:space="preserve">Preservation of records. </w:t>
      </w:r>
      <w:r>
        <w:rPr>
          <w:rFonts w:ascii="Times New Roman" w:hAnsi="Times New Roman"/>
          <w:b w:val="false"/>
          <w:i w:val="false"/>
          <w:color w:val="000000"/>
          <w:sz w:val="22"/>
        </w:rPr>
        <w:t xml:space="preserve">All electric utilities subject to regulation by the commission shall preserve the records of their operations in accordance with the provisions of Part 125 of the FERC rules, 18 CFR Part 125, Preservation of Records of Public Utilities and Licensees, as issued on August 15, 2000. Rate-regulated companies shall further ensure the preservation of records of associated companies, whether or not the associated companies are themselves utilities, as necessary to support the cost of services rendered to the utility by the associated companies.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7637C</w:t>
      </w:r>
      <w:r>
        <w:rPr>
          <w:rFonts w:ascii="Times New Roman" w:hAnsi="Times New Roman"/>
          <w:b w:val="false"/>
          <w:i w:val="false"/>
          <w:color w:val="000000"/>
          <w:sz w:val="16"/>
        </w:rPr>
        <w:t>, IAB 2/21/24, effective 3/27/24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199—18.5</w:t>
      </w:r>
      <w:r>
        <w:rPr>
          <w:rFonts w:ascii="Times New Roman" w:hAnsi="Times New Roman"/>
          <w:b/>
          <w:i w:val="false"/>
          <w:color w:val="000000"/>
          <w:sz w:val="22"/>
        </w:rPr>
        <w:t xml:space="preserve">(476) </w:t>
      </w:r>
      <w:r>
        <w:rPr>
          <w:rFonts w:ascii="Times New Roman" w:hAnsi="Times New Roman"/>
          <w:b/>
          <w:i w:val="false"/>
          <w:color w:val="000000"/>
          <w:sz w:val="22"/>
        </w:rPr>
        <w:t xml:space="preserve">Rural electric cooperatives. </w:t>
      </w:r>
    </w:p>
    <w:p>
      <w:pPr>
        <w:spacing w:before="0" w:after="0"/>
        <w:ind w:left="120"/>
        <w:jc w:val="both"/>
      </w:pPr>
      <w:r>
        <w:rPr>
          <w:rFonts w:ascii="Times New Roman" w:hAnsi="Times New Roman"/>
          <w:b/>
          <w:i w:val="false"/>
          <w:color w:val="000000"/>
          <w:sz w:val="22"/>
        </w:rPr>
        <w:t>18.5(1)</w:t>
      </w:r>
      <w:r>
        <w:rPr>
          <w:rFonts w:ascii="Times New Roman" w:hAnsi="Times New Roman"/>
          <w:b w:val="false"/>
          <w:i w:val="false"/>
          <w:color w:val="000000"/>
          <w:sz w:val="22"/>
        </w:rPr>
        <w:t> </w:t>
      </w:r>
      <w:r>
        <w:rPr>
          <w:rFonts w:ascii="Times New Roman" w:hAnsi="Times New Roman"/>
          <w:b w:val="false"/>
          <w:i/>
          <w:color w:val="000000"/>
          <w:sz w:val="22"/>
        </w:rPr>
        <w:t xml:space="preserve">Units of property. </w:t>
      </w:r>
      <w:r>
        <w:rPr>
          <w:rFonts w:ascii="Times New Roman" w:hAnsi="Times New Roman"/>
          <w:b w:val="false"/>
          <w:i w:val="false"/>
          <w:color w:val="000000"/>
          <w:sz w:val="22"/>
        </w:rPr>
        <w:t xml:space="preserve">Rural electric cooperatives (RECs) subject to rate regulation by the commission shall adopt the RUS rules contained in 7 CFR Part 1767 published May 27, 2008. The REC shall maintain sufficient records to support additions to plant, retirement units, and replacements of electric plant, in accordance with 7 CFR Section 1767.10, Definitions; 7 CFR Section 1767.15, General Instructions; 7 CFR Section 1767.16, Electric Plant Instructions; and 7 CFR Section 1767.20, Plant Accounts. </w:t>
      </w:r>
    </w:p>
    <w:p>
      <w:pPr>
        <w:spacing w:before="0" w:after="0"/>
        <w:ind w:left="120"/>
        <w:jc w:val="both"/>
      </w:pPr>
      <w:r>
        <w:rPr>
          <w:rFonts w:ascii="Times New Roman" w:hAnsi="Times New Roman"/>
          <w:b/>
          <w:i w:val="false"/>
          <w:color w:val="000000"/>
          <w:sz w:val="22"/>
        </w:rPr>
        <w:t>18.5(2)</w:t>
      </w:r>
      <w:r>
        <w:rPr>
          <w:rFonts w:ascii="Times New Roman" w:hAnsi="Times New Roman"/>
          <w:b w:val="false"/>
          <w:i w:val="false"/>
          <w:color w:val="000000"/>
          <w:sz w:val="22"/>
        </w:rPr>
        <w:t> </w:t>
      </w:r>
      <w:r>
        <w:rPr>
          <w:rFonts w:ascii="Times New Roman" w:hAnsi="Times New Roman"/>
          <w:b w:val="false"/>
          <w:i/>
          <w:color w:val="000000"/>
          <w:sz w:val="22"/>
        </w:rPr>
        <w:t xml:space="preserve">Preservation of records. </w:t>
      </w:r>
      <w:r>
        <w:rPr>
          <w:rFonts w:ascii="Times New Roman" w:hAnsi="Times New Roman"/>
          <w:b w:val="false"/>
          <w:i w:val="false"/>
          <w:color w:val="000000"/>
          <w:sz w:val="22"/>
        </w:rPr>
        <w:t xml:space="preserve">RECs shall preserve the records of their operations in accordance with the provisions of the RUS rules contained in RUS Bulletin 180-2, Record Retention Recommendations for RUS Electric Borrowers, issued June 26, 2003.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7637C</w:t>
      </w:r>
      <w:r>
        <w:rPr>
          <w:rFonts w:ascii="Times New Roman" w:hAnsi="Times New Roman"/>
          <w:b w:val="false"/>
          <w:i w:val="false"/>
          <w:color w:val="000000"/>
          <w:sz w:val="16"/>
        </w:rPr>
        <w:t>, IAB 2/21/24, effective 3/27/24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199—18.6</w:t>
      </w:r>
      <w:r>
        <w:rPr>
          <w:rFonts w:ascii="Times New Roman" w:hAnsi="Times New Roman"/>
          <w:b/>
          <w:i w:val="false"/>
          <w:color w:val="000000"/>
          <w:sz w:val="22"/>
        </w:rPr>
        <w:t xml:space="preserve">(476) </w:t>
      </w:r>
      <w:r>
        <w:rPr>
          <w:rFonts w:ascii="Times New Roman" w:hAnsi="Times New Roman"/>
          <w:b/>
          <w:i w:val="false"/>
          <w:color w:val="000000"/>
          <w:sz w:val="22"/>
        </w:rPr>
        <w:t xml:space="preserve">Gas utilities. </w:t>
      </w:r>
    </w:p>
    <w:p>
      <w:pPr>
        <w:spacing w:before="0" w:after="0"/>
        <w:ind w:left="120"/>
        <w:jc w:val="both"/>
      </w:pPr>
      <w:r>
        <w:rPr>
          <w:rFonts w:ascii="Times New Roman" w:hAnsi="Times New Roman"/>
          <w:b/>
          <w:i w:val="false"/>
          <w:color w:val="000000"/>
          <w:sz w:val="22"/>
        </w:rPr>
        <w:t>18.6(1)</w:t>
      </w:r>
      <w:r>
        <w:rPr>
          <w:rFonts w:ascii="Times New Roman" w:hAnsi="Times New Roman"/>
          <w:b w:val="false"/>
          <w:i w:val="false"/>
          <w:color w:val="000000"/>
          <w:sz w:val="22"/>
        </w:rPr>
        <w:t> </w:t>
      </w:r>
      <w:r>
        <w:rPr>
          <w:rFonts w:ascii="Times New Roman" w:hAnsi="Times New Roman"/>
          <w:b w:val="false"/>
          <w:i/>
          <w:color w:val="000000"/>
          <w:sz w:val="22"/>
        </w:rPr>
        <w:t xml:space="preserve">Units of property. </w:t>
      </w:r>
      <w:r>
        <w:rPr>
          <w:rFonts w:ascii="Times New Roman" w:hAnsi="Times New Roman"/>
          <w:b w:val="false"/>
          <w:i w:val="false"/>
          <w:color w:val="000000"/>
          <w:sz w:val="22"/>
        </w:rPr>
        <w:t xml:space="preserve">Rate-regulated gas utilities shall maintain an accounting system for Units of Property in Accounting for Additions and Retirements of Gas Plant in accordance with the “Uniform systems of accounts—electric rules” rule in </w:t>
      </w:r>
      <w:hyperlink r:id="rId5">
        <w:r>
          <w:rPr>
            <w:rStyle w:val="Hyperlink"/>
            <w:rFonts w:ascii="Times New Roman" w:hAnsi="Times New Roman"/>
            <w:b w:val="false"/>
            <w:i w:val="false"/>
            <w:color w:val="000000"/>
            <w:sz w:val="22"/>
          </w:rPr>
          <w:t>199—Chapter 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18.6(2)</w:t>
      </w:r>
      <w:r>
        <w:rPr>
          <w:rFonts w:ascii="Times New Roman" w:hAnsi="Times New Roman"/>
          <w:b w:val="false"/>
          <w:i w:val="false"/>
          <w:color w:val="000000"/>
          <w:sz w:val="22"/>
        </w:rPr>
        <w:t> </w:t>
      </w:r>
      <w:r>
        <w:rPr>
          <w:rFonts w:ascii="Times New Roman" w:hAnsi="Times New Roman"/>
          <w:b w:val="false"/>
          <w:i/>
          <w:color w:val="000000"/>
          <w:sz w:val="22"/>
        </w:rPr>
        <w:t xml:space="preserve">Preservation of records. </w:t>
      </w:r>
      <w:r>
        <w:rPr>
          <w:rFonts w:ascii="Times New Roman" w:hAnsi="Times New Roman"/>
          <w:b w:val="false"/>
          <w:i w:val="false"/>
          <w:color w:val="000000"/>
          <w:sz w:val="22"/>
        </w:rPr>
        <w:t>All gas utilities subject to regulation by the commission shall preserve the records of their operations in accordance with the provisions of FERC rules, 18 CFR Part 225, Preservation of Records of Natural Gas Companies, as issued August 15, 2000. Rate-regulated companies shall further ensure the preservation of records of associated companies, whether or not the associated companies are themselves utilities, as necessary to support the cost of services rendered to the utility by the associated companies.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7637C</w:t>
      </w:r>
      <w:r>
        <w:rPr>
          <w:rFonts w:ascii="Times New Roman" w:hAnsi="Times New Roman"/>
          <w:b w:val="false"/>
          <w:i w:val="false"/>
          <w:color w:val="000000"/>
          <w:sz w:val="16"/>
        </w:rPr>
        <w:t>, IAB 2/21/24, effective 3/27/24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199—18.7</w:t>
      </w:r>
      <w:r>
        <w:rPr>
          <w:rFonts w:ascii="Times New Roman" w:hAnsi="Times New Roman"/>
          <w:b/>
          <w:i w:val="false"/>
          <w:color w:val="000000"/>
          <w:sz w:val="22"/>
        </w:rPr>
        <w:t xml:space="preserve">(476) </w:t>
      </w:r>
      <w:r>
        <w:rPr>
          <w:rFonts w:ascii="Times New Roman" w:hAnsi="Times New Roman"/>
          <w:b/>
          <w:i w:val="false"/>
          <w:color w:val="000000"/>
          <w:sz w:val="22"/>
        </w:rPr>
        <w:t xml:space="preserve">Water, sanitary sewage, and storm water drainage utilities. </w:t>
      </w:r>
    </w:p>
    <w:p>
      <w:pPr>
        <w:spacing w:before="0" w:after="0"/>
        <w:ind w:left="120"/>
        <w:jc w:val="both"/>
      </w:pPr>
      <w:r>
        <w:rPr>
          <w:rFonts w:ascii="Times New Roman" w:hAnsi="Times New Roman"/>
          <w:b/>
          <w:i w:val="false"/>
          <w:color w:val="000000"/>
          <w:sz w:val="22"/>
        </w:rPr>
        <w:t>18.7(1)</w:t>
      </w:r>
      <w:r>
        <w:rPr>
          <w:rFonts w:ascii="Times New Roman" w:hAnsi="Times New Roman"/>
          <w:b w:val="false"/>
          <w:i w:val="false"/>
          <w:color w:val="000000"/>
          <w:sz w:val="22"/>
        </w:rPr>
        <w:t> </w:t>
      </w:r>
      <w:r>
        <w:rPr>
          <w:rFonts w:ascii="Times New Roman" w:hAnsi="Times New Roman"/>
          <w:b w:val="false"/>
          <w:i/>
          <w:color w:val="000000"/>
          <w:sz w:val="22"/>
        </w:rPr>
        <w:t xml:space="preserve">Units of property. </w:t>
      </w:r>
      <w:r>
        <w:rPr>
          <w:rFonts w:ascii="Times New Roman" w:hAnsi="Times New Roman"/>
          <w:b w:val="false"/>
          <w:i w:val="false"/>
          <w:color w:val="000000"/>
          <w:sz w:val="22"/>
        </w:rPr>
        <w:t xml:space="preserve">Rate-regulated water, sanitary sewage, and storm water drainage utilities shall maintain an accounting system for Units of Property in Accounting for Additions and Retirements of Water Plant in accordance with the “Uniform systems of accounts—electric rules” rule in </w:t>
      </w:r>
      <w:hyperlink r:id="rId6">
        <w:r>
          <w:rPr>
            <w:rStyle w:val="Hyperlink"/>
            <w:rFonts w:ascii="Times New Roman" w:hAnsi="Times New Roman"/>
            <w:b w:val="false"/>
            <w:i w:val="false"/>
            <w:color w:val="000000"/>
            <w:sz w:val="22"/>
          </w:rPr>
          <w:t>199—Chapter 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18.7(2)</w:t>
      </w:r>
      <w:r>
        <w:rPr>
          <w:rFonts w:ascii="Times New Roman" w:hAnsi="Times New Roman"/>
          <w:b w:val="false"/>
          <w:i w:val="false"/>
          <w:color w:val="000000"/>
          <w:sz w:val="22"/>
        </w:rPr>
        <w:t> </w:t>
      </w:r>
      <w:r>
        <w:rPr>
          <w:rFonts w:ascii="Times New Roman" w:hAnsi="Times New Roman"/>
          <w:b w:val="false"/>
          <w:i/>
          <w:color w:val="000000"/>
          <w:sz w:val="22"/>
        </w:rPr>
        <w:t xml:space="preserve">Preservation of records. </w:t>
      </w:r>
      <w:r>
        <w:rPr>
          <w:rFonts w:ascii="Times New Roman" w:hAnsi="Times New Roman"/>
          <w:b w:val="false"/>
          <w:i w:val="false"/>
          <w:color w:val="000000"/>
          <w:sz w:val="22"/>
        </w:rPr>
        <w:t>All water, sanitary sewage, and storm water drainage utilities subject to regulation by the commission shall preserve the records of their operations in accordance with the provisions of the NARUC guidelines: Regulations to Govern the Preservation of Records of Electric, Gas and Water Utilities, revised October 2007 edition. Regulated water, sanitary sewage, and storm water drainage utilities shall further ensure the preservation of records of associated companies, whether or not the associated companies are themselves utilities, as necessary to support the cost of services rendered to the utility by the associated companies.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7637C</w:t>
      </w:r>
      <w:r>
        <w:rPr>
          <w:rFonts w:ascii="Times New Roman" w:hAnsi="Times New Roman"/>
          <w:b w:val="false"/>
          <w:i w:val="false"/>
          <w:color w:val="000000"/>
          <w:sz w:val="16"/>
        </w:rPr>
        <w:t>, IAB 2/21/24, effective 3/27/24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7">
        <w:r>
          <w:rPr>
            <w:rStyle w:val="Hyperlink"/>
            <w:rFonts w:ascii="Times New Roman" w:hAnsi="Times New Roman"/>
            <w:b w:val="false"/>
            <w:i w:val="false"/>
            <w:color w:val="000000"/>
            <w:sz w:val="22"/>
          </w:rPr>
          <w:t>476.31</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546.7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11/16/65; amended 1/11/66]</w:t>
      </w:r>
    </w:p>
    <w:p>
      <w:pPr>
        <w:spacing w:before="0" w:after="0"/>
        <w:ind w:left="120"/>
        <w:jc w:val="center"/>
      </w:pPr>
      <w:r>
        <w:rPr>
          <w:rFonts w:ascii="Times New Roman" w:hAnsi="Times New Roman"/>
          <w:b w:val="false"/>
          <w:i w:val="false"/>
          <w:color w:val="000000"/>
          <w:sz w:val="21"/>
        </w:rPr>
        <w:t>[Filed 9/30/77, Notice 6/29/77—published 10/19/77, effective 11/23/77]</w:t>
      </w:r>
    </w:p>
    <w:p>
      <w:pPr>
        <w:spacing w:before="0" w:after="0"/>
        <w:ind w:left="120"/>
        <w:jc w:val="center"/>
      </w:pPr>
      <w:r>
        <w:rPr>
          <w:rFonts w:ascii="Times New Roman" w:hAnsi="Times New Roman"/>
          <w:b w:val="false"/>
          <w:i w:val="false"/>
          <w:color w:val="000000"/>
          <w:sz w:val="21"/>
        </w:rPr>
        <w:t>[Filed 5/20/83, Notice 4/13/83—published 6/8/83, effective 7/13/83]</w:t>
      </w:r>
    </w:p>
    <w:p>
      <w:pPr>
        <w:spacing w:before="0" w:after="0"/>
        <w:ind w:left="120"/>
        <w:jc w:val="center"/>
      </w:pPr>
      <w:r>
        <w:rPr>
          <w:rFonts w:ascii="Times New Roman" w:hAnsi="Times New Roman"/>
          <w:b w:val="false"/>
          <w:i w:val="false"/>
          <w:color w:val="000000"/>
          <w:sz w:val="21"/>
        </w:rPr>
        <w:t>[Filed emergency 9/18/86—published 10/8/86, effective 9/18/86]</w:t>
      </w:r>
    </w:p>
    <w:p>
      <w:pPr>
        <w:spacing w:before="0" w:after="0"/>
        <w:ind w:left="120"/>
        <w:jc w:val="center"/>
      </w:pPr>
      <w:r>
        <w:rPr>
          <w:rFonts w:ascii="Times New Roman" w:hAnsi="Times New Roman"/>
          <w:b w:val="false"/>
          <w:i w:val="false"/>
          <w:color w:val="000000"/>
          <w:sz w:val="21"/>
        </w:rPr>
        <w:t>[Filed 2/28/90, Notice 12/13/89—published 3/21/90, effective 4/25/90]</w:t>
      </w:r>
    </w:p>
    <w:p>
      <w:pPr>
        <w:spacing w:before="0" w:after="0"/>
        <w:ind w:left="120"/>
        <w:jc w:val="center"/>
      </w:pPr>
      <w:r>
        <w:rPr>
          <w:rFonts w:ascii="Times New Roman" w:hAnsi="Times New Roman"/>
          <w:b w:val="false"/>
          <w:i w:val="false"/>
          <w:color w:val="000000"/>
          <w:sz w:val="21"/>
        </w:rPr>
        <w:t>[Filed 12/23/96, Notice 8/28/96—published 1/15/97, effective 2/19/97]</w:t>
      </w:r>
    </w:p>
    <w:p>
      <w:pPr>
        <w:spacing w:before="0" w:after="0"/>
        <w:ind w:left="120"/>
        <w:jc w:val="center"/>
      </w:pPr>
      <w:r>
        <w:rPr>
          <w:rFonts w:ascii="Times New Roman" w:hAnsi="Times New Roman"/>
          <w:b w:val="false"/>
          <w:i w:val="false"/>
          <w:color w:val="000000"/>
          <w:sz w:val="21"/>
        </w:rPr>
        <w:t>[Filed 6/6/03, Notice 12/25/02—published 6/25/03, effective 7/30/03]</w:t>
      </w:r>
    </w:p>
    <w:p>
      <w:pPr>
        <w:spacing w:before="0" w:after="0"/>
        <w:ind w:left="120"/>
        <w:jc w:val="center"/>
      </w:pPr>
      <w:r>
        <w:rPr>
          <w:rFonts w:ascii="Times New Roman" w:hAnsi="Times New Roman"/>
          <w:b w:val="false"/>
          <w:i w:val="false"/>
          <w:color w:val="000000"/>
          <w:sz w:val="21"/>
        </w:rPr>
        <w:t>[Filed ARC 4273C</w:t>
      </w:r>
      <w:r>
        <w:rPr>
          <w:rFonts w:ascii="Times New Roman" w:hAnsi="Times New Roman"/>
          <w:b w:val="false"/>
          <w:i w:val="false"/>
          <w:color w:val="000000"/>
          <w:sz w:val="21"/>
        </w:rPr>
        <w:t xml:space="preserve"> (Notice ARC 3913C, IAB 8/1/18)</w:t>
      </w:r>
      <w:r>
        <w:rPr>
          <w:rFonts w:ascii="Times New Roman" w:hAnsi="Times New Roman"/>
          <w:b w:val="false"/>
          <w:i w:val="false"/>
          <w:color w:val="000000"/>
          <w:sz w:val="21"/>
        </w:rPr>
        <w:t>, IAB 1/30/19, effective 3/6/19]</w:t>
      </w:r>
    </w:p>
    <w:p>
      <w:pPr>
        <w:spacing w:before="0" w:after="0"/>
        <w:ind w:left="120"/>
        <w:jc w:val="center"/>
      </w:pPr>
      <w:r>
        <w:rPr>
          <w:rFonts w:ascii="Times New Roman" w:hAnsi="Times New Roman"/>
          <w:b w:val="false"/>
          <w:i w:val="false"/>
          <w:color w:val="000000"/>
          <w:sz w:val="21"/>
        </w:rPr>
        <w:t>[Filed ARC 7637C</w:t>
      </w:r>
      <w:r>
        <w:rPr>
          <w:rFonts w:ascii="Times New Roman" w:hAnsi="Times New Roman"/>
          <w:b w:val="false"/>
          <w:i w:val="false"/>
          <w:color w:val="000000"/>
          <w:sz w:val="21"/>
        </w:rPr>
        <w:t xml:space="preserve"> (Notice ARC 7123C, IAB 11/29/23)</w:t>
      </w:r>
      <w:r>
        <w:rPr>
          <w:rFonts w:ascii="Times New Roman" w:hAnsi="Times New Roman"/>
          <w:b w:val="false"/>
          <w:i w:val="false"/>
          <w:color w:val="000000"/>
          <w:sz w:val="21"/>
        </w:rPr>
        <w:t>, IAB 2/21/24, effective 3/27/24]</w:t>
      </w:r>
    </w:p>
    <w:p>
      <w:pPr>
        <w:spacing w:before="0" w:after="0"/>
        <w:ind w:left="120"/>
        <w:jc w:val="center"/>
      </w:pPr>
      <w:r>
        <w:rPr>
          <w:rFonts w:ascii="Times New Roman" w:hAnsi="Times New Roman"/>
          <w:b w:val="false"/>
          <w:i w:val="false"/>
          <w:color w:val="000000"/>
          <w:sz w:val="21"/>
        </w:rPr>
        <w:t>[Editorial change: IAC Supplement 7/24/24]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199.16.pdf" Type="http://schemas.openxmlformats.org/officeDocument/2006/relationships/hyperlink" Id="rId4"/>
    <Relationship TargetMode="External" Target="https://www.legis.iowa.gov/docs/iac/chapter/199.16.pdf" Type="http://schemas.openxmlformats.org/officeDocument/2006/relationships/hyperlink" Id="rId5"/>
    <Relationship TargetMode="External" Target="https://www.legis.iowa.gov/docs/iac/chapter/199.16.pdf" Type="http://schemas.openxmlformats.org/officeDocument/2006/relationships/hyperlink" Id="rId6"/>
    <Relationship TargetMode="External" Target="https://www.legis.iowa.gov/docs/ico/chapter/476.pdf" Type="http://schemas.openxmlformats.org/officeDocument/2006/relationships/hyperlink" Id="rId7"/>
    <Relationship TargetMode="External" Target="https://www.legis.iowa.gov/docs/ico/chapter/546.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