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INTRASTATE GAS PIPELINES AND UNDERGROUND GAS STORAGE</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199—10.1</w:t>
      </w:r>
      <w:r>
        <w:rPr>
          <w:rFonts w:ascii="Times New Roman" w:hAnsi="Times New Roman"/>
          <w:b/>
          <w:i w:val="false"/>
          <w:color w:val="000000"/>
          <w:sz w:val="22"/>
        </w:rPr>
        <w:t xml:space="preserve">(479)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in Iowa Code chapter </w:t>
      </w:r>
      <w:hyperlink r:id="rId4">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to establish procedures and filing requirements for a permit to construct, maintain, and operate an intrastate gas pipeline, for an amendment to an existing permit, and for renewal of an existing permit. This chapter also implements the requirements in Iowa Code chapter </w:t>
      </w:r>
      <w:hyperlink r:id="rId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for permits for underground storage of natural gas. The rules relating to intrastate gas pipelines and underground gas storage in this chapter are adopted by the Iowa utilities commission (commission) pursuant to Iowa Code section </w:t>
      </w:r>
      <w:hyperlink r:id="rId6">
        <w:r>
          <w:rPr>
            <w:rStyle w:val="Hyperlink"/>
            <w:rFonts w:ascii="Times New Roman" w:hAnsi="Times New Roman"/>
            <w:b w:val="false"/>
            <w:i w:val="false"/>
            <w:color w:val="000000"/>
            <w:sz w:val="22"/>
          </w:rPr>
          <w:t>479.17</w:t>
        </w:r>
      </w:hyperlink>
      <w:r>
        <w:rPr>
          <w:rFonts w:ascii="Times New Roman" w:hAnsi="Times New Roman"/>
          <w:b w:val="false"/>
          <w:i w:val="false"/>
          <w:color w:val="000000"/>
          <w:sz w:val="22"/>
        </w:rPr>
        <w:t>. The rules in this chapter do not apply to interstate pipe, pipes, or pipelines used in the transportation or transmission of natural gas or hazardous liquids.</w:t>
      </w:r>
    </w:p>
    <w:p>
      <w:pPr>
        <w:spacing w:before="0" w:after="0"/>
        <w:ind w:left="120"/>
        <w:jc w:val="both"/>
      </w:pP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 When a permit is required. </w:t>
      </w:r>
      <w:r>
        <w:rPr>
          <w:rFonts w:ascii="Times New Roman" w:hAnsi="Times New Roman"/>
          <w:b w:val="false"/>
          <w:i w:val="false"/>
          <w:color w:val="000000"/>
          <w:sz w:val="22"/>
        </w:rPr>
        <w:t>A pipeline permit shall be required for any pipeline which will operate at a pressure in excess of 150 pounds per square inch gauge (psig) or which, regardless of operating pressure, is a transmission line as defined in ASME B31.8 or 49 CFR 192.3. Using the factors set out in rule 199—10.14(479), the commission shall determine whether a pipeline is a transmission line and requires a permit.</w:t>
      </w:r>
    </w:p>
    <w:p>
      <w:pPr>
        <w:spacing w:before="0" w:after="0"/>
        <w:ind w:left="120"/>
        <w:jc w:val="both"/>
      </w:pP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Technical terms not defined in this chapter shall be as defined in the appropriate standard adopted in rule </w:t>
      </w:r>
      <w:hyperlink r:id="rId7">
        <w:r>
          <w:rPr>
            <w:rStyle w:val="Hyperlink"/>
            <w:rFonts w:ascii="Times New Roman" w:hAnsi="Times New Roman"/>
            <w:b w:val="false"/>
            <w:i w:val="false"/>
            <w:color w:val="000000"/>
            <w:sz w:val="22"/>
          </w:rPr>
          <w:t>199—10.12(479)</w:t>
        </w:r>
      </w:hyperlink>
      <w:r>
        <w:rPr>
          <w:rFonts w:ascii="Times New Roman" w:hAnsi="Times New Roman"/>
          <w:b w:val="false"/>
          <w:i w:val="false"/>
          <w:color w:val="000000"/>
          <w:sz w:val="22"/>
        </w:rPr>
        <w:t>. For the administration and interpretation of this chapter, the following words and terms shall have the following meanings:</w:t>
      </w:r>
    </w:p>
    <w:p>
      <w:pPr>
        <w:spacing w:before="0" w:after="0"/>
        <w:ind w:left="120"/>
        <w:jc w:val="both"/>
      </w:pP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recorded interest in the property, including but not limited to a landowner, a contract purchaser of record, a person possessing the property under a lease, a record lienholder, and a record encumbrancer of the property. </w:t>
      </w:r>
    </w:p>
    <w:p>
      <w:pPr>
        <w:spacing w:before="0" w:after="0"/>
        <w:ind w:left="120"/>
        <w:jc w:val="both"/>
      </w:pP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that changes to the pipeline permit or pipeline require the filing of a petition to amend an existing pipeline permit as described in rule </w:t>
      </w:r>
      <w:hyperlink r:id="rId8">
        <w:r>
          <w:rPr>
            <w:rStyle w:val="Hyperlink"/>
            <w:rFonts w:ascii="Times New Roman" w:hAnsi="Times New Roman"/>
            <w:b w:val="false"/>
            <w:i w:val="false"/>
            <w:color w:val="000000"/>
            <w:sz w:val="22"/>
          </w:rPr>
          <w:t>199—10.9</w:t>
        </w:r>
      </w:hyperlink>
      <w:r>
        <w:rPr>
          <w:rFonts w:ascii="Times New Roman" w:hAnsi="Times New Roman"/>
          <w:b w:val="false"/>
          <w:i w:val="false"/>
          <w:color w:val="000000"/>
          <w:sz w:val="22"/>
        </w:rPr>
        <w:t>(479).</w:t>
      </w:r>
    </w:p>
    <w:p>
      <w:pPr>
        <w:spacing w:before="0" w:after="0"/>
        <w:ind w:left="120"/>
        <w:jc w:val="both"/>
      </w:pP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 degree angle.</w:t>
      </w:r>
    </w:p>
    <w:p>
      <w:pPr>
        <w:spacing w:before="0" w:after="0"/>
        <w:ind w:left="120"/>
        <w:jc w:val="both"/>
      </w:pP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December 22, 2021, unless a separate effective date is identified in a specific rule.</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has been employed by a county board of supervisors to do an on-site inspection of a proposed pipeline for compliance with </w:t>
      </w:r>
      <w:hyperlink r:id="rId10">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11">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“Gathering line” </w:t>
      </w:r>
      <w:r>
        <w:rPr>
          <w:rFonts w:ascii="Times New Roman" w:hAnsi="Times New Roman"/>
          <w:b w:val="false"/>
          <w:i w:val="false"/>
          <w:color w:val="000000"/>
          <w:sz w:val="22"/>
        </w:rPr>
        <w:t>means a natural gas pipeline that transports gas from a current production facility to a transmission line or main as interpreted by 49 CFR 192.8.</w:t>
      </w:r>
    </w:p>
    <w:p>
      <w:pPr>
        <w:spacing w:before="0" w:after="0"/>
        <w:ind w:left="120"/>
        <w:jc w:val="both"/>
      </w:pP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that involves the location, damages, compensation, or other matter that is prohibited by Iowa Code section </w:t>
      </w:r>
      <w:hyperlink r:id="rId12">
        <w:r>
          <w:rPr>
            <w:rStyle w:val="Hyperlink"/>
            <w:rFonts w:ascii="Times New Roman" w:hAnsi="Times New Roman"/>
            <w:b w:val="false"/>
            <w:i w:val="false"/>
            <w:color w:val="000000"/>
            <w:sz w:val="22"/>
          </w:rPr>
          <w:t>479.5(5)</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pipes, or pipelines used for the intrastate transportation or transmission of any solid, liquid, or gaseous substance, except water.</w:t>
      </w:r>
    </w:p>
    <w:p>
      <w:pPr>
        <w:spacing w:before="0" w:after="0"/>
        <w:ind w:left="120"/>
        <w:jc w:val="both"/>
      </w:pP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 for the intrastate transportation or transmission of any solid, liquid, or gaseous substance, except water.</w:t>
      </w:r>
    </w:p>
    <w:p>
      <w:pPr>
        <w:spacing w:before="0" w:after="0"/>
        <w:ind w:left="120"/>
        <w:jc w:val="both"/>
      </w:pP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natural gas in a subsurface stratum or formation of the earth.</w:t>
      </w:r>
    </w:p>
    <w:p>
      <w:pPr>
        <w:spacing w:before="0" w:after="0"/>
        <w:ind w:left="120"/>
        <w:jc w:val="both"/>
      </w:pP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these rules call for the consent or other showing of right from a railroad for a railroad crossing, an affidavit filed by a petitioner which states that proper application for approval of railroad crossing has been made, that a one-time crossing fee has been paid as provided for in rule </w:t>
      </w:r>
      <w:hyperlink r:id="rId13">
        <w:r>
          <w:rPr>
            <w:rStyle w:val="Hyperlink"/>
            <w:rFonts w:ascii="Times New Roman" w:hAnsi="Times New Roman"/>
            <w:b w:val="false"/>
            <w:i w:val="false"/>
            <w:color w:val="000000"/>
            <w:sz w:val="22"/>
          </w:rPr>
          <w:t>199—42.3(476)</w:t>
        </w:r>
      </w:hyperlink>
      <w:r>
        <w:rPr>
          <w:rFonts w:ascii="Times New Roman" w:hAnsi="Times New Roman"/>
          <w:b w:val="false"/>
          <w:i w:val="false"/>
          <w:color w:val="000000"/>
          <w:sz w:val="22"/>
        </w:rPr>
        <w:t>, and that 35 days have passed since mailing of the application and payment with no claim of special circumstance or objection from the railroad will be accepted as a showing of consent for the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i w:val="false"/>
          <w:color w:val="000000"/>
          <w:sz w:val="16"/>
        </w:rPr>
        <w:t>ARC 7017C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199—10.2</w:t>
      </w:r>
      <w:r>
        <w:rPr>
          <w:rFonts w:ascii="Times New Roman" w:hAnsi="Times New Roman"/>
          <w:b/>
          <w:i w:val="false"/>
          <w:color w:val="000000"/>
          <w:sz w:val="22"/>
        </w:rPr>
        <w:t xml:space="preserve">(479)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Informational meetings shall be held for any proposed pipeline project five miles or more in length, including both the current project and future anticipated extensions, and which is to be operated at a pressure in excess of 150 pounds per square inch. A separate informational meeting shall be held in each county in which real property or property rights would be affected. </w:t>
      </w:r>
    </w:p>
    <w:p>
      <w:pPr>
        <w:spacing w:before="0" w:after="0"/>
        <w:ind w:left="120"/>
        <w:jc w:val="both"/>
      </w:pP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Standards for Accessible Design, including both the Title III regulations at 28 CFR Part 36, Subpart D, and the 2004 Americans with Disabilities Act Accessibility Guidelines at 36 CFR Part 1191, Appendices B and D, where such a building or facility is reasonably available.</w:t>
      </w:r>
    </w:p>
    <w:p>
      <w:pPr>
        <w:spacing w:before="0" w:after="0"/>
        <w:ind w:left="120"/>
        <w:jc w:val="both"/>
      </w:pP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 pipeline company proposing to schedule an informational meeting shall file a request to schedule the informational meeting and shall include a proposed time and date for the informational meeting, an alternate time and date, and a description of the proposed project and route. The pipeline company shall be notified within ten days of the filing of the request whether the request is approved or alternate times and dates are required. Once a date and time for the informational meeting have been approved, the pipeline company shall file the location of the informational meeting and a copy of the pipeline company’s presentation with the commission.</w:t>
      </w:r>
    </w:p>
    <w:p>
      <w:pPr>
        <w:spacing w:before="0" w:after="0"/>
        <w:ind w:left="120"/>
        <w:jc w:val="both"/>
      </w:pP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notice shall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of the pipeline company;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pipeline company’s principal place of business;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description and purpose of the proposed project;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nature of the right-of-way desired;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possibility that the right-of-way may be acquired by condemnation if approved by the commission;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map showing the route of the proposed project;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the process used by the commission in making a decision on whether to approve a permit, including the right to take property by eminent domain; </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That the landowner and any other affected person have a right to be present at the meeting and to file objections with the commission;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Designation of the time, date and place of the meeting; </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statement of damage claims as required by paragraph 10.3(3)</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following statement: Persons with disabilities requiring assistive services or devices to observe or participate should contact the Utilities Commission at (515)725-7300 in advance of the scheduled date to request accommodations.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persons listed on the tax assessment rolls as responsible for paying the real estate taxes imposed on the property whose addresses are not known, provided a good-faith effort to obtain the addresses can be demonstrated by the pipeline company. The maps used in the published notice shall clearly delineate the pipeline route.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file prior to the informational meeting an affidavit that describes the good-faith effort the pipeline company undertook to locate the addresses of all affected persons. The affidavit shall be signed by a corporate officer or an attorney representing the pipeline company.</w:t>
      </w:r>
    </w:p>
    <w:p>
      <w:pPr>
        <w:spacing w:before="0" w:after="0"/>
        <w:ind w:left="120"/>
        <w:jc w:val="both"/>
      </w:pP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Service requirements and planning which have resulted in the proposed project.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pipeline will be constructed.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elements involved in pipeline construction.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rights which the pipeline company will seek to acquire through easements.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shall send notice of the request for an informational meeting to the county board of supervisors in each county where the pipeline is proposed to be located. The pipeline company shall request from the board of supervisors the name of the county inspector, a professional engineer who shall conduct the on-site inspection required in Iowa Code section </w:t>
      </w:r>
      <w:hyperlink r:id="rId14">
        <w:r>
          <w:rPr>
            <w:rStyle w:val="Hyperlink"/>
            <w:rFonts w:ascii="Times New Roman" w:hAnsi="Times New Roman"/>
            <w:b w:val="false"/>
            <w:i w:val="false"/>
            <w:color w:val="000000"/>
            <w:sz w:val="22"/>
          </w:rPr>
          <w:t>479.29(2)</w:t>
        </w:r>
      </w:hyperlink>
      <w:r>
        <w:rPr>
          <w:rFonts w:ascii="Times New Roman" w:hAnsi="Times New Roman"/>
          <w:b w:val="false"/>
          <w:i w:val="false"/>
          <w:color w:val="000000"/>
          <w:sz w:val="22"/>
        </w:rPr>
        <w:t xml:space="preserve">. The pipeline company shall provide the name and contact information of the county inspector to the landowners and other affected persons at the meeting, if known. </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199—10.3</w:t>
      </w:r>
      <w:r>
        <w:rPr>
          <w:rFonts w:ascii="Times New Roman" w:hAnsi="Times New Roman"/>
          <w:b/>
          <w:i w:val="false"/>
          <w:color w:val="000000"/>
          <w:sz w:val="22"/>
        </w:rPr>
        <w:t xml:space="preserve">(479)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 petition for a permit shall be filed with the commission upon the form prescribed and shall include all required exhibits. The petition shall be considered filed with the commission on the date accepted by the commission’s electronic filing system as provided for in 199—Chapter 14. The petition shall be attested to by an officer, official or attorney with authority to represent the pipeline company. Required exhibits shall be in the following form: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showing at a minimum:</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beginning and ending points of the proposed pipeline.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general direction of the proposed route through each quarter section of land to be crossed, including township and range.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proposed pipeline will be located on private or public property, public highway or railroad right-of-way.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Other pertinent information.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 17 inches. Maps based on satellite imagery are preferred. A map of the entire route, if the route is located in more than one county or there is more than one map for a county, shall be filed in this exhibit on paper no larger than 11 × 17 inches without regard to scale. The following minimum information shall be provided on the maps: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route of the pipeline which is the subject of the petition, including the starting and ending points, and when paralleling a road or railroad, which side it is on. Multiple pipelines on the same right-of-way shall be indicated, and the distance between paralleling pipelines shall be shown.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pipelines and the identity of the owner.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buildings or places of public assembly within the potential impact radius of the transmission pipeline as defined in 49 CFR 192.903.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and the number of secondary highways to be crossed, if any, and such other information as may be deemed pertinent on forms prescribed by the commission, which are located on the commission’s website. In addition, the maximum and normal operating pressure of the proposed pipeline shall be provided.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it growing out of the construction and operation of its pipeline or gas storage facilities in the state of Iowa; security satisfactory to the commission as a guarantee for the payment of damages in the sum of $250,000; or satisfactory proofs that the pipeline company has property subject to execution within this state, other than pipelines, of a value in excess of $250,000. The commission may require additional surety or insurance policies to ensure the payment of damages growing out of the construction and operation of a transmission pipeline that will be constructed in more than one county.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such consent is obtained prior to filing of the petition, shall be filed with the petition.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shall contain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general statement covering each of the following topics: </w:t>
      </w:r>
    </w:p>
    <w:p>
      <w:pPr>
        <w:numPr>
          <w:ilvl w:val="0"/>
          <w:numId w:val="3"/>
        </w:numPr>
        <w:spacing w:before="0" w:after="0"/>
        <w:jc w:val="both"/>
      </w:pPr>
      <w:r>
        <w:rPr>
          <w:rFonts w:ascii="Times New Roman" w:hAnsi="Times New Roman"/>
          <w:b w:val="false"/>
          <w:i w:val="false"/>
          <w:color w:val="000000"/>
          <w:sz w:val="22"/>
        </w:rPr>
        <w:t xml:space="preserve">The nature of the lands, waters, and public or private facilities to be crossed; </w:t>
      </w:r>
    </w:p>
    <w:p>
      <w:pPr>
        <w:numPr>
          <w:ilvl w:val="0"/>
          <w:numId w:val="3"/>
        </w:numPr>
        <w:spacing w:before="0" w:after="0"/>
        <w:jc w:val="both"/>
      </w:pPr>
      <w:r>
        <w:rPr>
          <w:rFonts w:ascii="Times New Roman" w:hAnsi="Times New Roman"/>
          <w:b w:val="false"/>
          <w:i w:val="false"/>
          <w:color w:val="000000"/>
          <w:sz w:val="22"/>
        </w:rPr>
        <w:t xml:space="preserve">The possible use of alternative routes; </w:t>
      </w:r>
    </w:p>
    <w:p>
      <w:pPr>
        <w:numPr>
          <w:ilvl w:val="0"/>
          <w:numId w:val="3"/>
        </w:numPr>
        <w:spacing w:before="0" w:after="0"/>
        <w:jc w:val="both"/>
      </w:pPr>
      <w:r>
        <w:rPr>
          <w:rFonts w:ascii="Times New Roman" w:hAnsi="Times New Roman"/>
          <w:b w:val="false"/>
          <w:i w:val="false"/>
          <w:color w:val="000000"/>
          <w:sz w:val="22"/>
        </w:rPr>
        <w:t xml:space="preserve">The relationship of the proposed pipeline to present and future land use and zoning ordinances; and </w:t>
      </w:r>
    </w:p>
    <w:p>
      <w:pPr>
        <w:numPr>
          <w:ilvl w:val="0"/>
          <w:numId w:val="3"/>
        </w:numPr>
        <w:spacing w:before="0" w:after="0"/>
        <w:jc w:val="both"/>
      </w:pPr>
      <w:r>
        <w:rPr>
          <w:rFonts w:ascii="Times New Roman" w:hAnsi="Times New Roman"/>
          <w:b w:val="false"/>
          <w:i w:val="false"/>
          <w:color w:val="000000"/>
          <w:sz w:val="22"/>
        </w:rPr>
        <w:t>The inconvenience or undue injury which may result to property owners as a result of the proposed project.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such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this exhibit must be in final form before a hearing is scheduled. It shall consist of a map of the route showing the location of each property for which the right of eminent domain is sought and for each property: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description of the property.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description of the desired easement.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specific description of the easement rights being sought.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and addresses of all affected persons based upon a title search conducted for the property over which eminent domain is requested.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overview map showing the location of the property over which eminent domain is requested filed with the property identified as required in 199—paragraph 9.2(1)</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15">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in rule </w:t>
      </w:r>
      <w:hyperlink r:id="rId16">
        <w:r>
          <w:rPr>
            <w:rStyle w:val="Hyperlink"/>
            <w:rFonts w:ascii="Times New Roman" w:hAnsi="Times New Roman"/>
            <w:b w:val="false"/>
            <w:i w:val="false"/>
            <w:color w:val="000000"/>
            <w:sz w:val="22"/>
          </w:rPr>
          <w:t>199—9.2(479,479B)</w:t>
        </w:r>
      </w:hyperlink>
      <w:r>
        <w:rPr>
          <w:rFonts w:ascii="Times New Roman" w:hAnsi="Times New Roman"/>
          <w:b w:val="false"/>
          <w:i w:val="false"/>
          <w:color w:val="000000"/>
          <w:sz w:val="22"/>
        </w:rPr>
        <w:t xml:space="preserve">. The name and contact information of each county inspector designated by county boards of supervisors pursuant to Iowa Code section </w:t>
      </w:r>
      <w:hyperlink r:id="rId17">
        <w:r>
          <w:rPr>
            <w:rStyle w:val="Hyperlink"/>
            <w:rFonts w:ascii="Times New Roman" w:hAnsi="Times New Roman"/>
            <w:b w:val="false"/>
            <w:i w:val="false"/>
            <w:color w:val="000000"/>
            <w:sz w:val="22"/>
          </w:rPr>
          <w:t>479.29(2)</w:t>
        </w:r>
      </w:hyperlink>
      <w:r>
        <w:rPr>
          <w:rFonts w:ascii="Times New Roman" w:hAnsi="Times New Roman"/>
          <w:b w:val="false"/>
          <w:i w:val="false"/>
          <w:color w:val="000000"/>
          <w:sz w:val="22"/>
        </w:rPr>
        <w:t xml:space="preserve"> shall be included in the land restoration plan, if known.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If permission is sought to construct, maintain and operate facilities for underground storage of gas, the petition shall include the following information, in addition to that stated above: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public or private highways, grounds and waters, streams and private lands of any kind under which the storage is proposed, together with a map.</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Maps showing the location of proposed machinery, appliances, fixtures, wells, and stations necessary for the construction, maintenance, and operation of the facilities.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K. </w:t>
      </w:r>
      <w:r>
        <w:rPr>
          <w:rFonts w:ascii="Times New Roman" w:hAnsi="Times New Roman"/>
          <w:b w:val="false"/>
          <w:i w:val="false"/>
          <w:color w:val="000000"/>
          <w:sz w:val="22"/>
        </w:rPr>
        <w:t>The pipeline company shall file additional information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affidavit affirming that the company undertook a review of land records to determine all affected persons for all parcels over which the pipeline is proposed to be located before easements were signed or eminent domain requested.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any private easements will be required for the proposed pipeline and, if a private easement is anticipated to be required, when the easement negotiations will be completed and whether all affected persons associated with the property have been notified.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any agreements or additional facilities that need to be constructed to receive natural gas.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Projected date when construction of the pipeline will begin.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pipeline will have pressure-relieving or pressure-limiting devices that meet the requirements of 49 CFR 192.199 and 192.201.</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on a particular project is deemed necessary.</w:t>
      </w:r>
    </w:p>
    <w:p>
      <w:pPr>
        <w:spacing w:before="0" w:after="0"/>
        <w:ind w:left="120"/>
        <w:jc w:val="both"/>
      </w:pP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shall provide the name of each landowner or tenant, a legal description of the property involved, and the status of proceedings to settle the claim.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petition for permit proposing new pipeline construction on an existing easement where the pipeline company has previously constructed a pipeline shall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petition for permit proposing new pipeline construction shall not be acted upon by the commission if the pipeline company does not file with the commission a written statement in compliance with Iowa Code chapter </w:t>
      </w:r>
      <w:hyperlink r:id="rId18">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as to how damages resulting from the construction of the pipeline shall be determined and paid.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contain the following information: the type of damages which will be compensated for,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19">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Nothing in this rule shall prevent a person from negotiating with the pipeline company for terms which are different, more specific, or in addition to the statement filed with the commission.</w:t>
      </w:r>
    </w:p>
    <w:p>
      <w:pPr>
        <w:spacing w:before="0" w:after="0"/>
        <w:ind w:left="120"/>
        <w:jc w:val="both"/>
      </w:pP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Negotiation of easements. The pipeline company is not prohibited from responding to inquiries concerning existing or future easements or from requesting and collecting tenant and affected person information, provided that the pipeline company is not “negotiating” as defined in subrule 10.1(3).</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199—10.4</w:t>
      </w:r>
      <w:r>
        <w:rPr>
          <w:rFonts w:ascii="Times New Roman" w:hAnsi="Times New Roman"/>
          <w:b/>
          <w:i w:val="false"/>
          <w:color w:val="000000"/>
          <w:sz w:val="22"/>
        </w:rPr>
        <w:t xml:space="preserve">(479)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When a petition for permit is filed with the commission, the petition shall be reviewed by commission staff for compliance with applicable laws and regulations. Once commission staff has completed the review and filed a report regarding the proposed pipeline and petition, the petition shall be set for hearing. This subrule does not apply to renewal petitions filed pursuant to rule 199—10.8(479) that do not require a hearing.</w:t>
      </w:r>
    </w:p>
    <w:p>
      <w:pPr>
        <w:spacing w:before="0" w:after="0"/>
        <w:ind w:left="120"/>
        <w:jc w:val="both"/>
      </w:pP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nor more than 30 days prior to the date of the hearing. Proof of such publication shall be filed prior to the hearing.</w:t>
      </w:r>
    </w:p>
    <w:p>
      <w:pPr>
        <w:spacing w:before="0" w:after="0"/>
        <w:ind w:left="120"/>
        <w:jc w:val="both"/>
      </w:pP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gas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interest in the property over which eminent domain is sought. A copy of the Exhibit H filed with the commission for the affected property shall accompany the notice. Service shall be by certified United States mail, return receipt requested, addressed to the person’s last known address, and this notice shall be mailed no later than the first day of publication of the official notice of hearing on the petition. Not less than five days prior to the date of the hearing, the petitioner shall file with the commission a certificate of service showing all persons and addresses to which notice was sent by certified mail and the date of the mailing, and an affidavit that all affected persons as defined in subrule 10.1(3) were served.</w:t>
      </w:r>
    </w:p>
    <w:p>
      <w:pPr>
        <w:spacing w:before="0" w:after="0"/>
        <w:ind w:left="120"/>
        <w:jc w:val="both"/>
      </w:pP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at the time the petition is filed, a copy of the notice of hearing shall be served upon any affected person as defined in subrule 10.1(3). Service shall be by ordinary mail, addressed to the last known address, mailed no later than the first day of publication of the official notice. A copy of each letter of notification, or one copy of the letter accompanied by a written statement listing all persons to which the notice was mailed, the date of mailing, and an affidavit that all affected persons were served, shall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199—10.5</w:t>
      </w:r>
      <w:r>
        <w:rPr>
          <w:rFonts w:ascii="Times New Roman" w:hAnsi="Times New Roman"/>
          <w:b/>
          <w:i w:val="false"/>
          <w:color w:val="000000"/>
          <w:sz w:val="22"/>
        </w:rPr>
        <w:t xml:space="preserve">(479) </w:t>
      </w:r>
      <w:r>
        <w:rPr>
          <w:rFonts w:ascii="Times New Roman" w:hAnsi="Times New Roman"/>
          <w:b/>
          <w:i w:val="false"/>
          <w:color w:val="000000"/>
          <w:sz w:val="22"/>
        </w:rPr>
        <w:t xml:space="preserve">Objections. </w:t>
      </w:r>
      <w:r>
        <w:rPr>
          <w:rFonts w:ascii="Times New Roman" w:hAnsi="Times New Roman"/>
          <w:b w:val="false"/>
          <w:i w:val="false"/>
          <w:color w:val="000000"/>
          <w:sz w:val="22"/>
        </w:rPr>
        <w:t>Any person whose rights or interests may be affected by a proposed pipeline or underground storage facility may file a written objection with the commission. Written objections shall be filed with the commission not less than five days prior to the date of hearing. The commission may, for good cause shown, permit filing of objections less than five days prior to hearing, but in such event the pipeline company shall be granted a reasonable time to respond to a late-filed objection.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199—10.6</w:t>
      </w:r>
      <w:r>
        <w:rPr>
          <w:rFonts w:ascii="Times New Roman" w:hAnsi="Times New Roman"/>
          <w:b/>
          <w:i w:val="false"/>
          <w:color w:val="000000"/>
          <w:sz w:val="22"/>
        </w:rPr>
        <w:t xml:space="preserve">(479) </w:t>
      </w:r>
      <w:r>
        <w:rPr>
          <w:rFonts w:ascii="Times New Roman" w:hAnsi="Times New Roman"/>
          <w:b/>
          <w:i w:val="false"/>
          <w:color w:val="000000"/>
          <w:sz w:val="22"/>
        </w:rPr>
        <w:t xml:space="preserve">Hearing. </w:t>
      </w:r>
      <w:r>
        <w:rPr>
          <w:rFonts w:ascii="Times New Roman" w:hAnsi="Times New Roman"/>
          <w:b w:val="false"/>
          <w:i w:val="false"/>
          <w:color w:val="000000"/>
          <w:sz w:val="22"/>
        </w:rPr>
        <w:t>A petition for a pipeline permit or amendment to a pipeline permit shall be scheduled for hearing not less than 10 nor more than 30 days from the date of last publication of the notice of hearing.</w:t>
      </w:r>
    </w:p>
    <w:p>
      <w:pPr>
        <w:spacing w:before="0" w:after="0"/>
        <w:ind w:left="120"/>
        <w:jc w:val="both"/>
      </w:pP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Representation of a pipeline company at a pipeline permit hearing shall comply with the requirements of 199—subrule 7.4(8).</w:t>
      </w:r>
    </w:p>
    <w:p>
      <w:pPr>
        <w:spacing w:before="0" w:after="0"/>
        <w:ind w:left="120"/>
        <w:jc w:val="both"/>
      </w:pP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or presiding officer may schedule a prehearing conference to consider a procedural schedule for the petition and a hearing date. </w:t>
      </w:r>
    </w:p>
    <w:p>
      <w:pPr>
        <w:spacing w:before="0" w:after="0"/>
        <w:ind w:left="120"/>
        <w:jc w:val="both"/>
      </w:pP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 xml:space="preserve">One or more petitions may be consolidated for hearing. </w:t>
      </w:r>
    </w:p>
    <w:p>
      <w:pPr>
        <w:spacing w:before="0" w:after="0"/>
        <w:ind w:left="120"/>
        <w:jc w:val="both"/>
      </w:pP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scheduled and held in the office of the commission or at any other place within the state of Iowa as the commission may designate pursuant to Iowa Code section </w:t>
      </w:r>
      <w:hyperlink r:id="rId20">
        <w:r>
          <w:rPr>
            <w:rStyle w:val="Hyperlink"/>
            <w:rFonts w:ascii="Times New Roman" w:hAnsi="Times New Roman"/>
            <w:b w:val="false"/>
            <w:i w:val="false"/>
            <w:color w:val="000000"/>
            <w:sz w:val="22"/>
          </w:rPr>
          <w:t>479.8</w:t>
        </w:r>
      </w:hyperlink>
      <w:r>
        <w:rPr>
          <w:rFonts w:ascii="Times New Roman" w:hAnsi="Times New Roman"/>
          <w:b w:val="false"/>
          <w:i w:val="false"/>
          <w:color w:val="000000"/>
          <w:sz w:val="22"/>
        </w:rPr>
        <w:t>. Requests for conducting a hearing or taking testimony by telephone or electronic means may be approved by the commission or presiding officer.</w:t>
      </w:r>
    </w:p>
    <w:p>
      <w:pPr>
        <w:spacing w:before="0" w:after="0"/>
        <w:ind w:left="120"/>
        <w:jc w:val="both"/>
      </w:pP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The hearing requirements in this rule also apply to petitions for underground storage permits or amendments to underground storage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199—10.7</w:t>
      </w:r>
      <w:r>
        <w:rPr>
          <w:rFonts w:ascii="Times New Roman" w:hAnsi="Times New Roman"/>
          <w:b/>
          <w:i w:val="false"/>
          <w:color w:val="000000"/>
          <w:sz w:val="22"/>
        </w:rPr>
        <w:t xml:space="preserve">(479)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A pipeline permit shall be issued once an order granting the permit is final and all the compliance requirements have been met. A pipeline company may request commission approval to delay obtaining consent to cross railroad right-of-way until after the pipeline permit is issued.</w:t>
      </w:r>
    </w:p>
    <w:p>
      <w:pPr>
        <w:spacing w:before="0" w:after="0"/>
        <w:ind w:left="120"/>
        <w:jc w:val="both"/>
      </w:pP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of the permanent route easement right-of-way becomes necessary, construction of the pipeline in that location shall be suspended and the pipeline company shall follow the procedures for filing of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review of the petition for amendment.</w:t>
      </w:r>
    </w:p>
    <w:p>
      <w:pPr>
        <w:spacing w:before="0" w:after="0"/>
        <w:ind w:left="120"/>
        <w:jc w:val="both"/>
      </w:pP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If the construction of facilities authorized by a permit is not commenced within two years of the date the permit is granted, or within two years after final disposition of judicial review of a permit order or of condemnation proceedings, the permit shall be forfeited unless the commission grants an extension of the permit filed prior to the expiration of the two-year period.</w:t>
      </w:r>
    </w:p>
    <w:p>
      <w:pPr>
        <w:spacing w:before="0" w:after="0"/>
        <w:ind w:left="120"/>
        <w:jc w:val="both"/>
      </w:pP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proposed construction, maps accurately showing the final routing of the pipeline, in compliance with 199—Chapter 9 and revised Exhibits A, B, and C, shall be filed with the commission.</w:t>
      </w:r>
    </w:p>
    <w:p>
      <w:pPr>
        <w:spacing w:before="0" w:after="0"/>
        <w:ind w:left="120"/>
        <w:jc w:val="both"/>
      </w:pP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the permit. The term of the permit may be less than, but shall not exceed, 25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199—10.8</w:t>
      </w:r>
      <w:r>
        <w:rPr>
          <w:rFonts w:ascii="Times New Roman" w:hAnsi="Times New Roman"/>
          <w:b/>
          <w:i w:val="false"/>
          <w:color w:val="000000"/>
          <w:sz w:val="22"/>
        </w:rPr>
        <w:t xml:space="preserve">(479)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A petition for renewal of an original or previously renewed pipeline permit may be filed at any time subsequent to issuance of the permit and shall be filed at least one year prior to expiration of the permit. This requirement is not applicable to renewal of permits that expire within one year of April 1, 2020. The petition shall be made on the form prescribed by the commission. Instructions for the petition are included as a part of the form, and the form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the same exhibits as required for a new permit, as applicable. The petition shall be considered filed with the commission on the date accepted into the commission’s electronic filing system as provided for in 199—Chapter 14. The petition shall be attested to by an officer, official, or attorney with authority to represent the pipeline company.</w:t>
      </w:r>
    </w:p>
    <w:p>
      <w:pPr>
        <w:spacing w:before="0" w:after="0"/>
        <w:ind w:left="120"/>
        <w:jc w:val="both"/>
      </w:pP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petition for permit shall be followed with respect to publication of notice, objections, and assessment of costs. </w:t>
      </w:r>
    </w:p>
    <w:p>
      <w:pPr>
        <w:spacing w:before="0" w:after="0"/>
        <w:ind w:left="120"/>
        <w:jc w:val="both"/>
      </w:pP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renewal permit will be issued upon the filing of the proof of publication required by rule </w:t>
      </w:r>
      <w:hyperlink r:id="rId21">
        <w:r>
          <w:rPr>
            <w:rStyle w:val="Hyperlink"/>
            <w:rFonts w:ascii="Times New Roman" w:hAnsi="Times New Roman"/>
            <w:b w:val="false"/>
            <w:i w:val="false"/>
            <w:color w:val="000000"/>
            <w:sz w:val="22"/>
          </w:rPr>
          <w:t>199—10.4(479)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a renewal permit. The term may be less than, and shall not exceed, 25 years from date of issue. The same procedure shall be followed for subsequent renewals.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199—10.9</w:t>
      </w:r>
      <w:r>
        <w:rPr>
          <w:rFonts w:ascii="Times New Roman" w:hAnsi="Times New Roman"/>
          <w:b/>
          <w:i w:val="false"/>
          <w:color w:val="000000"/>
          <w:sz w:val="22"/>
        </w:rPr>
        <w:t xml:space="preserve">(479)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Extension of an existing pipeline of the pipeline company outside of the permit easement.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Relocation or replacement of an existing pipeline of the pipeline company outside of the permit easement approved by the commission. If the relocation or replacement is for five miles or more of pipe to be operated at over 150 psig, an informational meeting as provided for by rule 199—10.2(479) shall be held for these relocations and replacements.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Contiguous extension of an underground storage area of the pipeline company.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for amendment of an original or renewed pipeline permit shall include the docket number and issue date of the permit for which amendment is sought and shall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applicable procedures for a petition for permit, including hearing, shall be followed. Upon appropriate determination by the commission, an amendment to the permit shall be issued. Such amendment shall be subject to the same conditions with respect to commencement of construction within two years and the filing of final routing maps as required for pipeline permits.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199—10.10</w:t>
      </w:r>
      <w:r>
        <w:rPr>
          <w:rFonts w:ascii="Times New Roman" w:hAnsi="Times New Roman"/>
          <w:b/>
          <w:i w:val="false"/>
          <w:color w:val="000000"/>
          <w:sz w:val="22"/>
        </w:rPr>
        <w:t xml:space="preserve">(479) </w:t>
      </w:r>
      <w:r>
        <w:rPr>
          <w:rFonts w:ascii="Times New Roman" w:hAnsi="Times New Roman"/>
          <w:b/>
          <w:i w:val="false"/>
          <w:color w:val="000000"/>
          <w:sz w:val="22"/>
        </w:rPr>
        <w:t xml:space="preserve">Fees and expenses. </w:t>
      </w:r>
    </w:p>
    <w:p>
      <w:pPr>
        <w:spacing w:before="0" w:after="0"/>
        <w:ind w:left="120"/>
        <w:jc w:val="both"/>
      </w:pP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Permit expenses. </w:t>
      </w:r>
      <w:r>
        <w:rPr>
          <w:rFonts w:ascii="Times New Roman" w:hAnsi="Times New Roman"/>
          <w:b w:val="false"/>
          <w:i w:val="false"/>
          <w:color w:val="000000"/>
          <w:sz w:val="22"/>
        </w:rPr>
        <w:t>The pipeline company shall pay the actual unrecovered cost incurred by the commission attributable to the informational meeting, processing, investigation, hearing, and inspection related to a petition requesting a pipeline permit or any other activity of the commission related to a pipeline permit.</w:t>
      </w:r>
    </w:p>
    <w:p>
      <w:pPr>
        <w:spacing w:before="0" w:after="0"/>
        <w:ind w:left="120"/>
        <w:jc w:val="both"/>
      </w:pP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Construction inspection. </w:t>
      </w:r>
      <w:r>
        <w:rPr>
          <w:rFonts w:ascii="Times New Roman" w:hAnsi="Times New Roman"/>
          <w:b w:val="false"/>
          <w:i w:val="false"/>
          <w:color w:val="000000"/>
          <w:sz w:val="22"/>
        </w:rPr>
        <w:t>The pipeline company shall reimburse the commission for the actual unrecovered expenses incurred due to inspection of pipeline construction or testing activities following from the granting of a pipeline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199—10.11</w:t>
      </w:r>
      <w:r>
        <w:rPr>
          <w:rFonts w:ascii="Times New Roman" w:hAnsi="Times New Roman"/>
          <w:b/>
          <w:i w:val="false"/>
          <w:color w:val="000000"/>
          <w:sz w:val="22"/>
        </w:rPr>
        <w:t xml:space="preserve">(479) </w:t>
      </w:r>
      <w:r>
        <w:rPr>
          <w:rFonts w:ascii="Times New Roman" w:hAnsi="Times New Roman"/>
          <w:b/>
          <w:i w:val="false"/>
          <w:color w:val="000000"/>
          <w:sz w:val="22"/>
        </w:rPr>
        <w:t xml:space="preserve">Inspections. </w:t>
      </w:r>
      <w:r>
        <w:rPr>
          <w:rFonts w:ascii="Times New Roman" w:hAnsi="Times New Roman"/>
          <w:b w:val="false"/>
          <w:i w:val="false"/>
          <w:color w:val="000000"/>
          <w:sz w:val="22"/>
        </w:rPr>
        <w:t>The commission shall from time to time examine the construction, maintenance, and condition of pipelines, underground storage facilities, and equipment used in connection with pipelines and facilities in the state of Iowa to determine whether they comply with the appropriate standards of pipeline safety. One or more members of the commission, or one or more duly appointed representatives of the commission, may enter upon the premises of any pipeline company within the state of Iowa for the purpose of making the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199—10.12</w:t>
      </w:r>
      <w:r>
        <w:rPr>
          <w:rFonts w:ascii="Times New Roman" w:hAnsi="Times New Roman"/>
          <w:b/>
          <w:i w:val="false"/>
          <w:color w:val="000000"/>
          <w:sz w:val="22"/>
        </w:rPr>
        <w:t xml:space="preserve">(479) </w:t>
      </w:r>
      <w:r>
        <w:rPr>
          <w:rFonts w:ascii="Times New Roman" w:hAnsi="Times New Roman"/>
          <w:b/>
          <w:i w:val="false"/>
          <w:color w:val="000000"/>
          <w:sz w:val="22"/>
        </w:rPr>
        <w:t xml:space="preserve">Standards for construction, operation and maintenance. </w:t>
      </w:r>
    </w:p>
    <w:p>
      <w:pPr>
        <w:spacing w:before="0" w:after="0"/>
        <w:ind w:left="120"/>
        <w:jc w:val="both"/>
      </w:pP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All pipelines, underground storage facilities, and equipment shall be designed, constructed, operated, and maintained in accordance with the following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191, “Transportation of Natural and Other Gas by Pipeline; Annual Reports, Incident Reports, and Safety-Related Condition Reports.”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192, “Transportation of Natural and Other Gas by Pipeline: Minimum Federal Safety Standards.”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199, “Drug and Alcohol Testing.”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ASME B31.8 - 2016, “Gas Transmission and Distribution Piping Systems.”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“Restoration of Agricultural Lands During and After Pipeline Construction.”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At railroad crossings, </w:t>
      </w:r>
      <w:hyperlink r:id="rId23">
        <w:r>
          <w:rPr>
            <w:rStyle w:val="Hyperlink"/>
            <w:rFonts w:ascii="Times New Roman" w:hAnsi="Times New Roman"/>
            <w:b w:val="false"/>
            <w:i w:val="false"/>
            <w:color w:val="000000"/>
            <w:sz w:val="22"/>
          </w:rPr>
          <w:t>199—42.7</w:t>
        </w:r>
      </w:hyperlink>
      <w:r>
        <w:rPr>
          <w:rFonts w:ascii="Times New Roman" w:hAnsi="Times New Roman"/>
          <w:b w:val="false"/>
          <w:i w:val="false"/>
          <w:color w:val="000000"/>
          <w:sz w:val="22"/>
        </w:rPr>
        <w:t>(476), “Engineering standards for pipelines.”</w:t>
      </w:r>
    </w:p>
    <w:p>
      <w:pPr>
        <w:spacing w:before="0" w:after="0"/>
        <w:ind w:left="120"/>
        <w:jc w:val="both"/>
      </w:pPr>
      <w:r>
        <w:rPr>
          <w:rFonts w:ascii="Times New Roman" w:hAnsi="Times New Roman"/>
          <w:b w:val="false"/>
          <w:i w:val="false"/>
          <w:color w:val="000000"/>
          <w:sz w:val="22"/>
        </w:rPr>
        <w:t xml:space="preserve">Conflicts between the standards established in paragraphs </w:t>
      </w:r>
      <w:hyperlink r:id="rId24">
        <w:r>
          <w:rPr>
            <w:rStyle w:val="Hyperlink"/>
            <w:rFonts w:ascii="Times New Roman" w:hAnsi="Times New Roman"/>
            <w:b w:val="false"/>
            <w:i w:val="false"/>
            <w:color w:val="000000"/>
            <w:sz w:val="22"/>
          </w:rPr>
          <w:t>10.12(1)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or between the requirements of rule </w:t>
      </w:r>
      <w:hyperlink r:id="rId25">
        <w:r>
          <w:rPr>
            <w:rStyle w:val="Hyperlink"/>
            <w:rFonts w:ascii="Times New Roman" w:hAnsi="Times New Roman"/>
            <w:b w:val="false"/>
            <w:i w:val="false"/>
            <w:color w:val="000000"/>
            <w:sz w:val="22"/>
          </w:rPr>
          <w:t>199—10.12(479)</w:t>
        </w:r>
      </w:hyperlink>
      <w:r>
        <w:rPr>
          <w:rFonts w:ascii="Times New Roman" w:hAnsi="Times New Roman"/>
          <w:b w:val="false"/>
          <w:i w:val="false"/>
          <w:color w:val="000000"/>
          <w:sz w:val="22"/>
        </w:rPr>
        <w:t xml:space="preserve"> and other requirements which are shown to exist by appropriate written documentation filed with the commission shall be resolved by the commission.</w:t>
      </w:r>
    </w:p>
    <w:p>
      <w:pPr>
        <w:spacing w:before="0" w:after="0"/>
        <w:ind w:left="120"/>
        <w:jc w:val="both"/>
      </w:pP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If review of Exhibit C, or inspection of facilities which are the subject of a permit petition, finds noncompliance with the standards adopted in this rule, the pipeline company shall provide satisfactory evidence showing the noncompliance has been corrected prior to the commission taking final action on the petition or will be corrected as a result of the commission taking final action on the petition.</w:t>
      </w:r>
    </w:p>
    <w:p>
      <w:pPr>
        <w:spacing w:before="0" w:after="0"/>
        <w:ind w:left="120"/>
        <w:jc w:val="both"/>
      </w:pP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Pipelines in tilled agricultural land shall be installed with a minimum cover of 48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199—10.13</w:t>
      </w:r>
      <w:r>
        <w:rPr>
          <w:rFonts w:ascii="Times New Roman" w:hAnsi="Times New Roman"/>
          <w:b/>
          <w:i w:val="false"/>
          <w:color w:val="000000"/>
          <w:sz w:val="22"/>
        </w:rPr>
        <w:t xml:space="preserve">(479)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26">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gives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of crossings of highway or railroad right-of-way, or rivers or other bodies of water.</w:t>
      </w:r>
    </w:p>
    <w:p>
      <w:pPr>
        <w:spacing w:before="0" w:after="0"/>
        <w:ind w:left="120"/>
        <w:jc w:val="both"/>
      </w:pP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It is recommended that the appropriate other authorities be contacted to determine what restrictions or conditions may be placed on the crossing by those authorities and to obtain information on any proposed reconstruction or relocation of existing facilities which may impact the routing of the pipeline. Approvals and any restrictions, conditions, or relocations of existing facilities are required to be filed with the commission prior to the granting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Pipeline routes which include crossings of highway or railroad right-of-way longitudinally on such right-of-way shall not be constructed unless a showing of consent by the appropriate authority has been provided by the pipeline company as required in paragraph 10.3(1)</w:t>
      </w:r>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199—10.14</w:t>
      </w:r>
      <w:r>
        <w:rPr>
          <w:rFonts w:ascii="Times New Roman" w:hAnsi="Times New Roman"/>
          <w:b/>
          <w:i w:val="false"/>
          <w:color w:val="000000"/>
          <w:sz w:val="22"/>
        </w:rPr>
        <w:t xml:space="preserve">(479) </w:t>
      </w:r>
      <w:r>
        <w:rPr>
          <w:rFonts w:ascii="Times New Roman" w:hAnsi="Times New Roman"/>
          <w:b/>
          <w:i w:val="false"/>
          <w:color w:val="000000"/>
          <w:sz w:val="22"/>
        </w:rPr>
        <w:t xml:space="preserve">Transmission line factors. </w:t>
      </w:r>
      <w:r>
        <w:rPr>
          <w:rFonts w:ascii="Times New Roman" w:hAnsi="Times New Roman"/>
          <w:b w:val="false"/>
          <w:i w:val="false"/>
          <w:color w:val="000000"/>
          <w:sz w:val="22"/>
        </w:rPr>
        <w:t>Factors considered by the commission in determining whether a pipeline is a transmission line and is therefore required to have a permit are set out in this rule. These factors are part of the commission’s consideration, especially when a request has been made to reclassify a pipeline from transmission to distribution. These factors are to provide guidance for determining whether a pipeline needs a permit under this chapter, but there may be other factors not included in this rule:</w:t>
      </w:r>
    </w:p>
    <w:p>
      <w:pPr>
        <w:numPr>
          <w:ilvl w:val="0"/>
          <w:numId w:val="4"/>
        </w:numPr>
        <w:spacing w:before="0" w:after="0"/>
        <w:jc w:val="both"/>
      </w:pPr>
      <w:r>
        <w:rPr>
          <w:rFonts w:ascii="Times New Roman" w:hAnsi="Times New Roman"/>
          <w:b w:val="false"/>
          <w:i w:val="false"/>
          <w:color w:val="000000"/>
          <w:sz w:val="22"/>
        </w:rPr>
        <w:t>The definitions of a transmission line in ASME B31.8 and 49 CFR 192.3.</w:t>
      </w:r>
    </w:p>
    <w:p>
      <w:pPr>
        <w:numPr>
          <w:ilvl w:val="0"/>
          <w:numId w:val="4"/>
        </w:numPr>
        <w:spacing w:before="0" w:after="0"/>
        <w:jc w:val="both"/>
      </w:pPr>
      <w:r>
        <w:rPr>
          <w:rFonts w:ascii="Times New Roman" w:hAnsi="Times New Roman"/>
          <w:b w:val="false"/>
          <w:i w:val="false"/>
          <w:color w:val="000000"/>
          <w:sz w:val="22"/>
        </w:rPr>
        <w:t>Pipeline Hazardous Material Safety Administration interpretations.</w:t>
      </w:r>
    </w:p>
    <w:p>
      <w:pPr>
        <w:numPr>
          <w:ilvl w:val="0"/>
          <w:numId w:val="4"/>
        </w:numPr>
        <w:spacing w:before="0" w:after="0"/>
        <w:jc w:val="both"/>
      </w:pPr>
      <w:r>
        <w:rPr>
          <w:rFonts w:ascii="Times New Roman" w:hAnsi="Times New Roman"/>
          <w:b w:val="false"/>
          <w:i w:val="false"/>
          <w:color w:val="000000"/>
          <w:sz w:val="22"/>
        </w:rPr>
        <w:t>The location of a distribution center.</w:t>
      </w:r>
    </w:p>
    <w:p>
      <w:pPr>
        <w:numPr>
          <w:ilvl w:val="0"/>
          <w:numId w:val="4"/>
        </w:numPr>
        <w:spacing w:before="0" w:after="0"/>
        <w:jc w:val="both"/>
      </w:pPr>
      <w:r>
        <w:rPr>
          <w:rFonts w:ascii="Times New Roman" w:hAnsi="Times New Roman"/>
          <w:b w:val="false"/>
          <w:i w:val="false"/>
          <w:color w:val="000000"/>
          <w:sz w:val="22"/>
        </w:rPr>
        <w:t>Interconnection with an interstate pipeline.</w:t>
      </w:r>
    </w:p>
    <w:p>
      <w:pPr>
        <w:numPr>
          <w:ilvl w:val="0"/>
          <w:numId w:val="4"/>
        </w:numPr>
        <w:spacing w:before="0" w:after="0"/>
        <w:jc w:val="both"/>
      </w:pPr>
      <w:r>
        <w:rPr>
          <w:rFonts w:ascii="Times New Roman" w:hAnsi="Times New Roman"/>
          <w:b w:val="false"/>
          <w:i w:val="false"/>
          <w:color w:val="000000"/>
          <w:sz w:val="22"/>
        </w:rPr>
        <w:t>Location of distribution regulator stations downstream of a proposed distribution center.</w:t>
      </w:r>
    </w:p>
    <w:p>
      <w:pPr>
        <w:numPr>
          <w:ilvl w:val="0"/>
          <w:numId w:val="4"/>
        </w:numPr>
        <w:spacing w:before="0" w:after="0"/>
        <w:jc w:val="both"/>
      </w:pPr>
      <w:r>
        <w:rPr>
          <w:rFonts w:ascii="Times New Roman" w:hAnsi="Times New Roman"/>
          <w:b w:val="false"/>
          <w:i w:val="false"/>
          <w:color w:val="000000"/>
          <w:sz w:val="22"/>
        </w:rPr>
        <w:t>Whether a proposed distribution center has more than one source of supply and the type of pipeline that provides the supply.</w:t>
      </w:r>
    </w:p>
    <w:p>
      <w:pPr>
        <w:numPr>
          <w:ilvl w:val="0"/>
          <w:numId w:val="4"/>
        </w:numPr>
        <w:spacing w:before="0" w:after="0"/>
        <w:jc w:val="both"/>
      </w:pPr>
      <w:r>
        <w:rPr>
          <w:rFonts w:ascii="Times New Roman" w:hAnsi="Times New Roman"/>
          <w:b w:val="false"/>
          <w:i w:val="false"/>
          <w:color w:val="000000"/>
          <w:sz w:val="22"/>
        </w:rPr>
        <w:t>Transfer of ownership of gas.</w:t>
      </w:r>
    </w:p>
    <w:p>
      <w:pPr>
        <w:numPr>
          <w:ilvl w:val="0"/>
          <w:numId w:val="4"/>
        </w:numPr>
        <w:spacing w:before="0" w:after="0"/>
        <w:jc w:val="both"/>
      </w:pPr>
      <w:r>
        <w:rPr>
          <w:rFonts w:ascii="Times New Roman" w:hAnsi="Times New Roman"/>
          <w:b w:val="false"/>
          <w:i w:val="false"/>
          <w:color w:val="000000"/>
          <w:sz w:val="22"/>
        </w:rPr>
        <w:t>Reduction in pressure of pipeline at a meter.</w:t>
      </w:r>
    </w:p>
    <w:p>
      <w:pPr>
        <w:numPr>
          <w:ilvl w:val="0"/>
          <w:numId w:val="4"/>
        </w:numPr>
        <w:spacing w:before="0" w:after="0"/>
        <w:jc w:val="both"/>
      </w:pPr>
      <w:r>
        <w:rPr>
          <w:rFonts w:ascii="Times New Roman" w:hAnsi="Times New Roman"/>
          <w:b w:val="false"/>
          <w:i w:val="false"/>
          <w:color w:val="000000"/>
          <w:sz w:val="22"/>
        </w:rPr>
        <w:t xml:space="preserve">No resale of gas downstream of a distribution center.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199—10.15</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Upon submission of any incident, annual, or other report to the U.S. Department of Transportation pursuant to 49 CFR Part 191 or Part 192, a pipeline company shall file a copy of the report with the commission. The commission shall also be advised of any telephonic incident report made by the pipeline company.</w:t>
      </w:r>
    </w:p>
    <w:p>
      <w:pPr>
        <w:spacing w:before="0" w:after="0"/>
        <w:ind w:left="120"/>
        <w:jc w:val="both"/>
      </w:pP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incident reports required by 49 CFR Part 191, the commission shall be notified of any incident or accident where the economic damage exceeds $15,000 or which results in loss of service to 50 or more customers. The pipeline company shall notify the commission, as soon as possible, of any incident by emailing the duty officer at </w:t>
      </w:r>
      <w:hyperlink r:id="rId27">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 The cost of gas lost due to the incident shall not be considered in calculating the economic damage of the incident.</w:t>
      </w:r>
    </w:p>
    <w:p>
      <w:pPr>
        <w:spacing w:before="0" w:after="0"/>
        <w:ind w:left="120"/>
        <w:jc w:val="both"/>
      </w:pP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Utilities operating in other states shall provide to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199—10.16</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Abandonment or removal from service. The pipeline company shall also notify the landowners prior to the abandonment or removal of the pipeline from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Pressure test or increase in maximum allowable or normal operating pressure.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Replacement of a pipeline or significant portion thereof, not including short repair sections of pipe at least as strong as the original pipe.</w:t>
      </w:r>
    </w:p>
    <w:p>
      <w:pPr>
        <w:spacing w:before="0" w:after="0"/>
        <w:ind w:left="120"/>
        <w:jc w:val="both"/>
      </w:pP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technical specifications,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199—10.17</w:t>
      </w:r>
      <w:r>
        <w:rPr>
          <w:rFonts w:ascii="Times New Roman" w:hAnsi="Times New Roman"/>
          <w:b/>
          <w:i w:val="false"/>
          <w:color w:val="000000"/>
          <w:sz w:val="22"/>
        </w:rPr>
        <w:t xml:space="preserve">(479)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shall include assurances that the buyer, or transferee, is authorized to transact business in the state of Iowa; is willing and able to construct, operate, and maintain the pipeline in accordance with these rules; and if the sale, or transfer, is prior to completion of construction of the pipeline shall show that the buyer, or transferee, has the financial ability to pay up to $250,000 in damages associated with construction or operation of the pipeline, or any other amount the commission has determined is necessary when granting the permit.</w:t>
      </w:r>
    </w:p>
    <w:p>
      <w:pPr>
        <w:spacing w:before="0" w:after="0"/>
        <w:ind w:left="120"/>
        <w:jc w:val="both"/>
      </w:pP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reassignment of a pipeline permit as part of a corporate restructuring, with no change in pipeline operating personnel or procedures, is considered a transfer and requires prior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199—10.18</w:t>
      </w:r>
      <w:r>
        <w:rPr>
          <w:rFonts w:ascii="Times New Roman" w:hAnsi="Times New Roman"/>
          <w:b/>
          <w:i w:val="false"/>
          <w:color w:val="000000"/>
          <w:sz w:val="22"/>
        </w:rPr>
        <w:t xml:space="preserve">(479)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199—10.19</w:t>
      </w:r>
      <w:r>
        <w:rPr>
          <w:rFonts w:ascii="Times New Roman" w:hAnsi="Times New Roman"/>
          <w:b/>
          <w:i w:val="false"/>
          <w:color w:val="000000"/>
          <w:sz w:val="22"/>
        </w:rPr>
        <w:t xml:space="preserve">(479) </w:t>
      </w:r>
      <w:r>
        <w:rPr>
          <w:rFonts w:ascii="Times New Roman" w:hAnsi="Times New Roman"/>
          <w:b/>
          <w:i w:val="false"/>
          <w:color w:val="000000"/>
          <w:sz w:val="22"/>
        </w:rPr>
        <w:t xml:space="preserve">Gathering line filing requirements. </w:t>
      </w:r>
    </w:p>
    <w:p>
      <w:pPr>
        <w:spacing w:before="0" w:after="0"/>
        <w:ind w:left="120"/>
        <w:jc w:val="both"/>
      </w:pP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Notice of the proposed construction of a gathering line as defined in subrule 10.1(3) is required 30 days prior to the commencement of construction. The notice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pipeline company proposing to construct the gathering line and evidence of authority from the Iowa secretary of state showing the company is authorized to conduct business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purpose of the proposed gathering line.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of the proposed route of the gathering line, similar to the map required in paragraph 10.3(1)</w:t>
      </w:r>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design of the proposed gathering line, similar to the information required in paragraph 10.3(1)</w:t>
      </w:r>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approximate date that construction will begin.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of the permissions or approvals of other state or local regulatory agencies required for construction of the gathering line.</w:t>
      </w:r>
    </w:p>
    <w:p>
      <w:pPr>
        <w:spacing w:before="0" w:after="0"/>
        <w:ind w:left="120"/>
        <w:jc w:val="both"/>
      </w:pPr>
      <w:r>
        <w:rPr>
          <w:rFonts w:ascii="Times New Roman" w:hAnsi="Times New Roman"/>
          <w:b w:val="false"/>
          <w:i w:val="false"/>
          <w:color w:val="000000"/>
          <w:sz w:val="22"/>
        </w:rPr>
        <w:t>If construction is on agricultural land, an agricultural mitigation plan as required in 199—Chapter 9 or a written agreement with the landowner is to be provided to the county inspector.</w:t>
      </w:r>
    </w:p>
    <w:p>
      <w:pPr>
        <w:spacing w:before="0" w:after="0"/>
        <w:ind w:left="120"/>
        <w:jc w:val="both"/>
      </w:pP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copy of any incident, annual report, or other report filed with the Pipeline and Hazardous Materials Safety Administration pursuant to 49 CFR Part 191 by the owner or operator of a gathering line located in Iowa shall be filed with the commission at the same time it is filed with the Pipeline and Hazardous Materials Safety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7017C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479.17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479.23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479.26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479.42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479.43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7/19/60; amended 8/23/62, 11/14/66]</w:t>
      </w:r>
    </w:p>
    <w:p>
      <w:pPr>
        <w:spacing w:before="0" w:after="0"/>
        <w:ind w:left="120"/>
        <w:jc w:val="center"/>
      </w:pPr>
      <w:r>
        <w:rPr>
          <w:rFonts w:ascii="Times New Roman" w:hAnsi="Times New Roman"/>
          <w:b w:val="false"/>
          <w:i w:val="false"/>
          <w:color w:val="000000"/>
          <w:sz w:val="21"/>
        </w:rPr>
        <w:t>[Filed emergency 7/1/77—published 7/27/77, effective 7/1/77]</w:t>
      </w:r>
    </w:p>
    <w:p>
      <w:pPr>
        <w:spacing w:before="0" w:after="0"/>
        <w:ind w:left="120"/>
        <w:jc w:val="center"/>
      </w:pPr>
      <w:r>
        <w:rPr>
          <w:rFonts w:ascii="Times New Roman" w:hAnsi="Times New Roman"/>
          <w:b w:val="false"/>
          <w:i w:val="false"/>
          <w:color w:val="000000"/>
          <w:sz w:val="21"/>
        </w:rPr>
        <w:t>[Filed emergency 9/19/77 after Notice 8/10/77—published 10/5/77, effective 9/19/77]</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2/10/84, Notice 1/4/84—published 2/29/84, effective 4/4/84]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5/27/88, Notice 2/24/88—published 6/15/88, effective 9/14/88]</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4957C</w:t>
      </w:r>
      <w:r>
        <w:rPr>
          <w:rFonts w:ascii="Times New Roman" w:hAnsi="Times New Roman"/>
          <w:b w:val="false"/>
          <w:i w:val="false"/>
          <w:color w:val="000000"/>
          <w:sz w:val="21"/>
        </w:rPr>
        <w:t xml:space="preserve"> (Notice ARC 4506C, IAB 6/19/19)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7017C</w:t>
      </w:r>
      <w:r>
        <w:rPr>
          <w:rFonts w:ascii="Times New Roman" w:hAnsi="Times New Roman"/>
          <w:b w:val="false"/>
          <w:i w:val="false"/>
          <w:color w:val="000000"/>
          <w:sz w:val="21"/>
        </w:rPr>
        <w:t xml:space="preserve"> (Notice ARC 6595C, IAB 10/19/22)</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9.pdf" Type="http://schemas.openxmlformats.org/officeDocument/2006/relationships/hyperlink" Id="rId4"/>
    <Relationship TargetMode="External" Target="https://www.legis.iowa.gov/docs/ico/chapter/479.pdf" Type="http://schemas.openxmlformats.org/officeDocument/2006/relationships/hyperlink" Id="rId5"/>
    <Relationship TargetMode="External" Target="https://www.legis.iowa.gov/docs/ico/chapter/479.pdf" Type="http://schemas.openxmlformats.org/officeDocument/2006/relationships/hyperlink" Id="rId6"/>
    <Relationship TargetMode="External" Target="https://www.legis.iowa.gov/docs/iac/rule/199.10.12.pdf" Type="http://schemas.openxmlformats.org/officeDocument/2006/relationships/hyperlink" Id="rId7"/>
    <Relationship TargetMode="External" Target="https://www.legis.iowa.gov/docs/iac/rule/199.10.9.pdf" Type="http://schemas.openxmlformats.org/officeDocument/2006/relationships/hyperlink" Id="rId8"/>
    <Relationship TargetMode="External" Target="https://www.legis.iowa.gov/docs/ico/chapter/542B.pdf" Type="http://schemas.openxmlformats.org/officeDocument/2006/relationships/hyperlink" Id="rId9"/>
    <Relationship TargetMode="External" Target="https://www.legis.iowa.gov/docs/iac/chapter/199.9.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9.pdf" Type="http://schemas.openxmlformats.org/officeDocument/2006/relationships/hyperlink" Id="rId12"/>
    <Relationship TargetMode="External" Target="https://www.legis.iowa.gov/docs/iac/rule/199.42.3.pdf" Type="http://schemas.openxmlformats.org/officeDocument/2006/relationships/hyperlink" Id="rId13"/>
    <Relationship TargetMode="External" Target="https://www.legis.iowa.gov/docs/ico/chapter/479.pdf" Type="http://schemas.openxmlformats.org/officeDocument/2006/relationships/hyperlink" Id="rId14"/>
    <Relationship TargetMode="External" Target="https://www.legis.iowa.gov/docs/iac/rule/199.9.1.pdf" Type="http://schemas.openxmlformats.org/officeDocument/2006/relationships/hyperlink" Id="rId15"/>
    <Relationship TargetMode="External" Target="https://www.legis.iowa.gov/docs/iac/rule/199.9.2.pdf" Type="http://schemas.openxmlformats.org/officeDocument/2006/relationships/hyperlink" Id="rId16"/>
    <Relationship TargetMode="External" Target="https://www.legis.iowa.gov/docs/ico/chapter/479.pdf" Type="http://schemas.openxmlformats.org/officeDocument/2006/relationships/hyperlink" Id="rId17"/>
    <Relationship TargetMode="External" Target="https://www.legis.iowa.gov/docs/ico/chapter/479.pdf" Type="http://schemas.openxmlformats.org/officeDocument/2006/relationships/hyperlink" Id="rId18"/>
    <Relationship TargetMode="External" Target="https://www.legis.iowa.gov/docs/ico/chapter/479.pdf" Type="http://schemas.openxmlformats.org/officeDocument/2006/relationships/hyperlink" Id="rId19"/>
    <Relationship TargetMode="External" Target="https://www.legis.iowa.gov/docs/ico/chapter/479.pdf" Type="http://schemas.openxmlformats.org/officeDocument/2006/relationships/hyperlink" Id="rId20"/>
    <Relationship TargetMode="External" Target="https://www.legis.iowa.gov/docs/iac/rule/199.10.4.pdf" Type="http://schemas.openxmlformats.org/officeDocument/2006/relationships/hyperlink" Id="rId21"/>
    <Relationship TargetMode="External" Target="https://www.legis.iowa.gov/docs/iac/chapter/199.9.pdf" Type="http://schemas.openxmlformats.org/officeDocument/2006/relationships/hyperlink" Id="rId22"/>
    <Relationship TargetMode="External" Target="https://www.legis.iowa.gov/docs/iac/rule/199.42.7.pdf" Type="http://schemas.openxmlformats.org/officeDocument/2006/relationships/hyperlink" Id="rId23"/>
    <Relationship TargetMode="External" Target="https://www.legis.iowa.gov/docs/iac/rule/199.10.12.pdf" Type="http://schemas.openxmlformats.org/officeDocument/2006/relationships/hyperlink" Id="rId24"/>
    <Relationship TargetMode="External" Target="https://www.legis.iowa.gov/docs/iac/rule/199.10.12.pdf" Type="http://schemas.openxmlformats.org/officeDocument/2006/relationships/hyperlink" Id="rId25"/>
    <Relationship TargetMode="External" Target="https://www.legis.iowa.gov/docs/ico/chapter/479.pdf" Type="http://schemas.openxmlformats.org/officeDocument/2006/relationships/hyperlink" Id="rId26"/>
    <Relationship TargetMode="External" Target="mailto:dutyofficer@iuc.iowa.gov" Type="http://schemas.openxmlformats.org/officeDocument/2006/relationships/hyperlink" Id="rId27"/>
    <Relationship TargetMode="External" Target="https://www.legis.iowa.gov/docs/ico/chapter/476.pdf" Type="http://schemas.openxmlformats.org/officeDocument/2006/relationships/hyperlink" Id="rId28"/>
    <Relationship TargetMode="External" Target="https://www.legis.iowa.gov/docs/ico/chapter/479.pdf" Type="http://schemas.openxmlformats.org/officeDocument/2006/relationships/hyperlink" Id="rId29"/>
    <Relationship TargetMode="External" Target="https://www.legis.iowa.gov/docs/ico/chapter/479.pdf" Type="http://schemas.openxmlformats.org/officeDocument/2006/relationships/hyperlink" Id="rId30"/>
    <Relationship TargetMode="External" Target="https://www.legis.iowa.gov/docs/ico/chapter/479.pdf" Type="http://schemas.openxmlformats.org/officeDocument/2006/relationships/hyperlink" Id="rId31"/>
    <Relationship TargetMode="External" Target="https://www.legis.iowa.gov/docs/ico/chapter/479.pdf" Type="http://schemas.openxmlformats.org/officeDocument/2006/relationships/hyperlink" Id="rId32"/>
    <Relationship TargetMode="External" Target="https://www.legis.iowa.gov/docs/ico/chapter/479.pdf" Type="http://schemas.openxmlformats.org/officeDocument/2006/relationships/hyperlink" Id="rId33"/>
    <Relationship TargetMode="External" Target="https://www.legis.iowa.gov/docs/ico/chapter/479.pdf" Type="http://schemas.openxmlformats.org/officeDocument/2006/relationships/hyperlink" Id="rId34"/>
    <Relationship TargetMode="External" Target="https://www.legis.iowa.gov/docs/ico/chapter/546.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