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BROKERAGE AGREEMENTS AND LISTINGS</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both"/>
      </w:pPr>
      <w:r>
        <w:rPr>
          <w:rFonts w:ascii="Times New Roman" w:hAnsi="Times New Roman"/>
          <w:b/>
          <w:i w:val="false"/>
          <w:color w:val="000000"/>
          <w:sz w:val="22"/>
        </w:rPr>
        <w:t>193E—11.1</w:t>
      </w:r>
      <w:r>
        <w:rPr>
          <w:rFonts w:ascii="Times New Roman" w:hAnsi="Times New Roman"/>
          <w:b/>
          <w:i w:val="false"/>
          <w:color w:val="000000"/>
          <w:sz w:val="22"/>
        </w:rPr>
        <w:t xml:space="preserve">(543B) </w:t>
      </w:r>
      <w:r>
        <w:rPr>
          <w:rFonts w:ascii="Times New Roman" w:hAnsi="Times New Roman"/>
          <w:b/>
          <w:i w:val="false"/>
          <w:color w:val="000000"/>
          <w:sz w:val="22"/>
        </w:rPr>
        <w:t xml:space="preserve">Listing brokerage agreements. </w:t>
      </w:r>
      <w:r>
        <w:rPr>
          <w:rFonts w:ascii="Times New Roman" w:hAnsi="Times New Roman"/>
          <w:b w:val="false"/>
          <w:i w:val="false"/>
          <w:color w:val="000000"/>
          <w:sz w:val="22"/>
        </w:rPr>
        <w:t>All listing agreements are in writing, properly identifying the property and containing all of the terms and conditions under which the property is to be sold, including the price, the commission to be paid, the signatures of all parties concerned and a definite expiration date. The agreement contains no provision requiring a party signing the listing to notify the broker of the listing party’s intention to cancel the listing after such definite expiration date. An exclusive agency or exclusive right to sell listing clearly indicates that it is such an agreement. A legible copy of every written listing agreement or other written authorization is given to the owner of the property by a licensee as soon as the signature of the owner is obtained.</w:t>
      </w:r>
    </w:p>
    <w:p>
      <w:pPr>
        <w:spacing w:before="0" w:after="0"/>
        <w:ind w:left="120"/>
        <w:jc w:val="both"/>
      </w:pP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listing or brokerage agreement with an owner if the licensee knows or has reason to know that the owner has a written unexpired exclusive agency or exclusive right to sell listing agreement to the property with another broker, unless the owner initiates the discussion and the licensee has not directly or indirectly solicited the listing or brokerage agreement.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However, if the owner initiates the discussion, the licensee may negotiate and enter into a listing or brokerage agreement that will take effect after the expiration of the current listing.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owner initiates the discussion, the licensee may inform the owner that the owner needs to allow the current listing to expire or obtain a mutually acceptable cancellation from the listing broker before any further discussion can take place.</w:t>
      </w:r>
    </w:p>
    <w:p>
      <w:pPr>
        <w:spacing w:before="0" w:after="0"/>
        <w:ind w:left="120"/>
        <w:jc w:val="both"/>
      </w:pP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an owner if it is known that the owner has a written unexpired contract in connection with the property which grants an exclusive right to sell to another broker, or which grants an exclusive agency to another broker.</w:t>
      </w:r>
    </w:p>
    <w:p>
      <w:pPr>
        <w:spacing w:before="0" w:after="0"/>
        <w:ind w:left="120"/>
        <w:jc w:val="both"/>
      </w:pP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 listing agreement cannot be assigned, sold, or otherwise transferred to another broker without the express written consent of all parties to the original agreement.</w:t>
      </w:r>
    </w:p>
    <w:p>
      <w:pPr>
        <w:spacing w:before="0" w:after="0"/>
        <w:ind w:left="120"/>
        <w:jc w:val="both"/>
      </w:pP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commission. The taking of a net listing is unprofessional conduct and constitutes a violation of Iowa Code sections </w:t>
      </w:r>
      <w:hyperlink r:id="rId4">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193E—11.2</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listing contract, there is a provision for the protective clause in the listing contract which establishes a definite protection period. In writing and prior to the expiration of the listing, the broker furnishes to the listing party the names and available contact information of persons to whom the property was presented during the active term of the listing and for whom protection is sought. Delivery is by personal service with written acknowledgment of receipt, or by both regular mail and certified mail,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6">
        <w:r>
          <w:rPr>
            <w:rStyle w:val="Hyperlink"/>
            <w:rFonts w:ascii="Times New Roman" w:hAnsi="Times New Roman"/>
            <w:b w:val="false"/>
            <w:i w:val="false"/>
            <w:color w:val="000000"/>
            <w:sz w:val="22"/>
          </w:rPr>
          <w:t>543B.57</w:t>
        </w:r>
      </w:hyperlink>
      <w:r>
        <w:rPr>
          <w:rFonts w:ascii="Times New Roman" w:hAnsi="Times New Roman"/>
          <w:b w:val="false"/>
          <w:i w:val="false"/>
          <w:color w:val="000000"/>
          <w:sz w:val="22"/>
        </w:rPr>
        <w:t xml:space="preserve"> and the following provisions: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All brokerage agreements contain a statement disclosing the brokerage policy on cooperating with and compensating other brokerages or the other parties’ agent in the sale, lease, rental, or purchase of real estate, including whether the brokerage intends to share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All listing contracts and all brokerage agency contracts comply with Iowa real estate law and commission rules including, but not limited to, rules </w:t>
      </w:r>
      <w:hyperlink r:id="rId7">
        <w:r>
          <w:rPr>
            <w:rStyle w:val="Hyperlink"/>
            <w:rFonts w:ascii="Times New Roman" w:hAnsi="Times New Roman"/>
            <w:b w:val="false"/>
            <w:i w:val="false"/>
            <w:color w:val="000000"/>
            <w:sz w:val="22"/>
          </w:rPr>
          <w:t>193E—11.1</w:t>
        </w:r>
      </w:hyperlink>
      <w:r>
        <w:rPr>
          <w:rFonts w:ascii="Times New Roman" w:hAnsi="Times New Roman"/>
          <w:b w:val="false"/>
          <w:i w:val="false"/>
          <w:color w:val="000000"/>
          <w:sz w:val="22"/>
        </w:rPr>
        <w:t xml:space="preserve">(543B) and 193E—11.4(543B) and </w:t>
      </w:r>
      <w:hyperlink r:id="rId8">
        <w:r>
          <w:rPr>
            <w:rStyle w:val="Hyperlink"/>
            <w:rFonts w:ascii="Times New Roman" w:hAnsi="Times New Roman"/>
            <w:b w:val="false"/>
            <w:i w:val="false"/>
            <w:color w:val="000000"/>
            <w:sz w:val="22"/>
          </w:rPr>
          <w:t>193E—Chapter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No licensee makes or enters into a brokerage agreement that specifies a net sale, lease, rental, or exchange price to be received by an owner and the excess to be received by the licensee as a commission.</w:t>
      </w:r>
    </w:p>
    <w:p>
      <w:pPr>
        <w:spacing w:before="0" w:after="0"/>
        <w:ind w:left="120"/>
        <w:jc w:val="both"/>
      </w:pP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taking of a net brokerage agreement is unprofessional conduct and a practice that is harmful or detrimental to the public and constitutes a violation of Iowa Code sections </w:t>
      </w:r>
      <w:hyperlink r:id="rId9">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If the transaction does not close, or the agreement for which the broker was engaged is not performed or completed for any reason, the relationship ends at the earlier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Any date of expiration agreed upon by the parties;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subagent, or dual agent and affiliated licensees have the duty after termination, expiration, completion, or performance of the brokerage agreement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Account for all moneys and property related to and received during the engagement;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the sharing or splitting of a commission or compensation between brokers.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Written permission of the client is needed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seller’s or landlord’s agent may share the commission or other compensation paid by such seller or landlord with another broker, with the written consent of the seller or landlord.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buyer’s or tenant’s agent may share the commission or other compensation paid by such buyer or tenant with another broker, with the written consent of the buyer or tenant.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sharing compensation paid by such buyer or tenant.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sharing compensation paid by such seller or landlord.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broker may be compensated by more than one party for services in a transaction.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licensee cannot accept, receive or charge an undisclosed commission for a transaction.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licensee cannot give or pay an undisclosed commission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licensee cannot pay any undisclosed rebate to any party to a transaction.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licensee cannot give any undisclosed credit against commission due from a client or licensee to any party to a transaction.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Solicitation of brokerage agreements. A licensee cannot advise, counsel, or solicit a brokerage agreement from a seller or buyer, or landlord or tenant, if the licensee knows, or acting in a reasonable manner should have known, that the seller or buyer, or landlord or tenant, has contracted with another broker for the same brokerage services on an exclusive basis.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This rule does not preclude a broker from entering into a brokerage agreement with a seller or buyer, or landlord or tenant, when the initial contact is initiated by the seller or buyer, or landlord or tenant, and the licensee has not directly or indirectly solicited the discussion, provided the brokerage agreement does not become effective until the expiration or release of the current brokerage agreement.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brokerage agreement cannot be assigned, sold, or otherwise transferred to another broker without the express written consent of all parties to the original agreement.</w:t>
      </w:r>
    </w:p>
    <w:p>
      <w:pPr>
        <w:spacing w:before="0" w:after="0"/>
        <w:ind w:left="120"/>
        <w:jc w:val="both"/>
      </w:pP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val="false"/>
          <w:color w:val="000000"/>
          <w:sz w:val="22"/>
        </w:rPr>
        <w:t>Any commission or fee in any brokerage agreement is fully negotiable among the parties to that brokerage agreement. Once the parties to a brokerage agreement have agreed to a commission or fee, no licensee other than a party to that brokerage agreement attempts to alter, modify, or change or induce another person to alter, modify, or change a commission or fee that has previously been agreed upon without the prior written consent of the parties to that brokerage agreement.</w:t>
      </w:r>
    </w:p>
    <w:p>
      <w:pPr>
        <w:spacing w:before="0" w:after="0"/>
        <w:ind w:left="120"/>
        <w:jc w:val="both"/>
      </w:pPr>
      <w:r>
        <w:rPr>
          <w:rFonts w:ascii="Times New Roman" w:hAnsi="Times New Roman"/>
          <w:b/>
          <w:i w:val="false"/>
          <w:color w:val="000000"/>
          <w:sz w:val="22"/>
        </w:rPr>
        <w:t>11.3(9)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i w:val="false"/>
          <w:color w:val="000000"/>
          <w:sz w:val="22"/>
        </w:rPr>
        <w:t>11.3(10)</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193E—11.4</w:t>
      </w:r>
      <w:r>
        <w:rPr>
          <w:rFonts w:ascii="Times New Roman" w:hAnsi="Times New Roman"/>
          <w:b/>
          <w:i w:val="false"/>
          <w:color w:val="000000"/>
          <w:sz w:val="22"/>
        </w:rPr>
        <w:t xml:space="preserve">(543B) </w:t>
      </w:r>
      <w:r>
        <w:rPr>
          <w:rFonts w:ascii="Times New Roman" w:hAnsi="Times New Roman"/>
          <w:b/>
          <w:i w:val="false"/>
          <w:color w:val="000000"/>
          <w:sz w:val="22"/>
        </w:rPr>
        <w:t xml:space="preserve">Terms or conditions. </w:t>
      </w:r>
      <w:r>
        <w:rPr>
          <w:rFonts w:ascii="Times New Roman" w:hAnsi="Times New Roman"/>
          <w:b w:val="false"/>
          <w:i w:val="false"/>
          <w:color w:val="000000"/>
          <w:sz w:val="22"/>
        </w:rPr>
        <w:t xml:space="preserve">A licensee cannot write, prepare or otherwise use a contract containing terms or conditions that would violate real estate laws in Iowa Code chapter </w:t>
      </w:r>
      <w:hyperlink r:id="rId1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w:t>
      </w:r>
    </w:p>
    <w:p>
      <w:pPr>
        <w:spacing w:before="0" w:after="0"/>
        <w:ind w:left="120"/>
        <w:jc w:val="both"/>
      </w:pPr>
      <w:r>
        <w:rPr>
          <w:rFonts w:ascii="Times New Roman" w:hAnsi="Times New Roman"/>
          <w:b w:val="false"/>
          <w:i w:val="false"/>
          <w:color w:val="000000"/>
          <w:sz w:val="22"/>
        </w:rPr>
        <w:t>The broker is responsible to ensure that all preprinted documents and forms used are in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193E—11.5</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 commission, any part of a commission,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commission earned to an unlicensed seller, landlord, buyer, or tenant that is a principal party to the brokerage agreement. This will be deemed a reduction in the amount of the earned commission.</w:t>
      </w:r>
    </w:p>
    <w:p>
      <w:pPr>
        <w:spacing w:before="0" w:after="0"/>
        <w:ind w:left="120"/>
        <w:jc w:val="both"/>
      </w:pP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12">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13">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There are no limitations placed on the payment;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donation is for a specific amount;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receiving entity does not act or participate in any manner that would need a license;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193E—11.7</w:t>
      </w:r>
      <w:r>
        <w:rPr>
          <w:rFonts w:ascii="Times New Roman" w:hAnsi="Times New Roman"/>
          <w:b/>
          <w:i w:val="false"/>
          <w:color w:val="000000"/>
          <w:sz w:val="22"/>
        </w:rPr>
        <w:t xml:space="preserve">(543B) </w:t>
      </w:r>
      <w:r>
        <w:rPr>
          <w:rFonts w:ascii="Times New Roman" w:hAnsi="Times New Roman"/>
          <w:b/>
          <w:i w:val="false"/>
          <w:color w:val="000000"/>
          <w:sz w:val="22"/>
        </w:rPr>
        <w:t xml:space="preserve">New construction. </w:t>
      </w:r>
      <w:r>
        <w:rPr>
          <w:rFonts w:ascii="Times New Roman" w:hAnsi="Times New Roman"/>
          <w:b w:val="false"/>
          <w:i w:val="false"/>
          <w:color w:val="000000"/>
          <w:sz w:val="22"/>
        </w:rPr>
        <w:t xml:space="preserve">A contract with a builder to construct or attach personal property or other type of structure to land and thereby produce an improvement to real estate is a real estate transaction. A licensee makes written disclosure revealing that the licensee and the licensee’s broker or brokerage firm will receive a commission, compensation, or valuable consideration for its efforts in the transaction, as obligated by paragraph </w:t>
      </w:r>
      <w:hyperlink r:id="rId14">
        <w:r>
          <w:rPr>
            <w:rStyle w:val="Hyperlink"/>
            <w:rFonts w:ascii="Times New Roman" w:hAnsi="Times New Roman"/>
            <w:b w:val="false"/>
            <w:i w:val="false"/>
            <w:color w:val="000000"/>
            <w:sz w:val="22"/>
          </w:rPr>
          <w:t>11.3(6)</w:t>
        </w:r>
        <w:r>
          <w:rPr>
            <w:rFonts w:ascii="Times New Roman" w:hAnsi="Times New Roman"/>
            <w:b w:val="false"/>
            <w:i/>
            <w:color w:val="000000"/>
            <w:sz w:val="22"/>
          </w:rPr>
          <w:t>“d.”</w:t>
        </w:r>
      </w:hyperlink>
      <w:r>
        <w:rPr>
          <w:rFonts w:ascii="Times New Roman" w:hAnsi="Times New Roman"/>
          <w:b w:val="false"/>
          <w:i w:val="false"/>
          <w:color w:val="000000"/>
          <w:sz w:val="22"/>
        </w:rPr>
        <w:t xml:space="preserve"> Written disclosure is necessary regardless of the type of representation provided by the licensee or if the licensee provides no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9505B</w:t>
      </w:r>
      <w:r>
        <w:rPr>
          <w:rFonts w:ascii="Times New Roman" w:hAnsi="Times New Roman"/>
          <w:b w:val="false"/>
          <w:i w:val="false"/>
          <w:color w:val="000000"/>
          <w:sz w:val="21"/>
        </w:rPr>
        <w:t xml:space="preserve"> (Notice ARC 9389B,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9929B</w:t>
      </w:r>
      <w:r>
        <w:rPr>
          <w:rFonts w:ascii="Times New Roman" w:hAnsi="Times New Roman"/>
          <w:b w:val="false"/>
          <w:i w:val="false"/>
          <w:color w:val="000000"/>
          <w:sz w:val="21"/>
        </w:rPr>
        <w:t xml:space="preserve"> (Notice ARC 9753B,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7773C</w:t>
      </w:r>
      <w:r>
        <w:rPr>
          <w:rFonts w:ascii="Times New Roman" w:hAnsi="Times New Roman"/>
          <w:b w:val="false"/>
          <w:i w:val="false"/>
          <w:color w:val="000000"/>
          <w:sz w:val="21"/>
        </w:rPr>
        <w:t xml:space="preserve"> (Notice ARC 7452C,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ac/rule/193E.11.1.pdf" Type="http://schemas.openxmlformats.org/officeDocument/2006/relationships/hyperlink" Id="rId7"/>
    <Relationship TargetMode="External" Target="https://www.legis.iowa.gov/docs/iac/chapter/193E.15.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ac/rule/193E.11.3.pdf" Type="http://schemas.openxmlformats.org/officeDocument/2006/relationships/hyperlink" Id="rId12"/>
    <Relationship TargetMode="External" Target="https://www.legis.iowa.gov/docs/iac/rule/193E.11.3.pdf" Type="http://schemas.openxmlformats.org/officeDocument/2006/relationships/hyperlink" Id="rId13"/>
    <Relationship TargetMode="External" Target="https://www.legis.iowa.gov/docs/iac/rule/193E.11.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3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