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DISCRIMINATION IN EMPLOYMENT</w:t>
      </w:r>
    </w:p>
    <w:p>
      <w:pPr>
        <w:spacing w:before="0" w:after="0"/>
        <w:ind w:left="120"/>
        <w:jc w:val="center"/>
      </w:pPr>
      <w:r>
        <w:rPr>
          <w:rFonts w:ascii="Times New Roman" w:hAnsi="Times New Roman"/>
          <w:b w:val="false"/>
          <w:i w:val="false"/>
          <w:color w:val="000000"/>
          <w:sz w:val="14"/>
        </w:rPr>
        <w:t>[Prior to 1/13/88, see Civil Rights 240—Chs 2, 3, 5, 6]</w:t>
      </w:r>
    </w:p>
    <w:p>
      <w:pPr>
        <w:spacing w:before="0" w:after="0"/>
        <w:ind w:left="120"/>
        <w:jc w:val="both"/>
      </w:pPr>
      <w:r>
        <w:rPr>
          <w:rFonts w:ascii="Times New Roman" w:hAnsi="Times New Roman"/>
          <w:b/>
          <w:i w:val="false"/>
          <w:color w:val="000000"/>
          <w:sz w:val="22"/>
        </w:rPr>
        <w:t>161—8.1</w:t>
      </w:r>
      <w:r>
        <w:rPr>
          <w:rFonts w:ascii="Times New Roman" w:hAnsi="Times New Roman"/>
          <w:b/>
          <w:i w:val="false"/>
          <w:color w:val="000000"/>
          <w:sz w:val="22"/>
        </w:rPr>
        <w:t xml:space="preserve">(216)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“Has a record of such an impairment” </w:t>
      </w:r>
      <w:r>
        <w:rPr>
          <w:rFonts w:ascii="Times New Roman" w:hAnsi="Times New Roman"/>
          <w:b w:val="false"/>
          <w:i w:val="false"/>
          <w:color w:val="000000"/>
          <w:sz w:val="22"/>
        </w:rPr>
        <w:t>means having a history of, or being misclassified as having, a mental or physical impairment that substantially limits a major life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life activities” </w:t>
      </w:r>
      <w:r>
        <w:rPr>
          <w:rFonts w:ascii="Times New Roman" w:hAnsi="Times New Roman"/>
          <w:b w:val="false"/>
          <w:i w:val="false"/>
          <w:color w:val="000000"/>
          <w:sz w:val="22"/>
        </w:rPr>
        <w:t>includes but is not limited to caring for oneself,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impairment”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disorders or conditions, cosmetic disfigurements, or anatomical loss affecting any of the following systems: neurological; musculoskeletal; special sense organs; respiratory and speech organs; cardiovascular; reproductive; digestive; genitourinary; hemic or lymphatic; skin; and endocrine;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Mental or psychological disorders such as intellectual disabilities,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“Regarded as having an impairment”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perception of having an impairment that substantially limits major life activities;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Having an impairment that substantially limits major life activities because of others’ attitudes toward the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“Substantially disabled” </w:t>
      </w:r>
      <w:r>
        <w:rPr>
          <w:rFonts w:ascii="Times New Roman" w:hAnsi="Times New Roman"/>
          <w:b w:val="false"/>
          <w:i w:val="false"/>
          <w:color w:val="000000"/>
          <w:sz w:val="22"/>
        </w:rPr>
        <w:t xml:space="preserve">means having a physical or mental impairment that substantially limits a major life activity, having a record of such impairment, or being regarded as having an impairment.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161—8.2</w:t>
      </w:r>
      <w:r>
        <w:rPr>
          <w:rFonts w:ascii="Times New Roman" w:hAnsi="Times New Roman"/>
          <w:b/>
          <w:i w:val="false"/>
          <w:color w:val="000000"/>
          <w:sz w:val="22"/>
        </w:rPr>
        <w:t xml:space="preserve">(216) </w:t>
      </w:r>
      <w:r>
        <w:rPr>
          <w:rFonts w:ascii="Times New Roman" w:hAnsi="Times New Roman"/>
          <w:b/>
          <w:i w:val="false"/>
          <w:color w:val="000000"/>
          <w:sz w:val="22"/>
        </w:rPr>
        <w:t xml:space="preserve">Bona fide occupational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An employer, employment agency, or labor organization may take action otherwise prohibited under commission rules where the protected basis is a bona fide occupational qualification reasonably necessary to the normal operation of the particular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 xml:space="preserve">Bona fide occupational qualifications are narrow in scope and do not include convenience or an employer’s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or employment agency’s following of federal or state statutes or regulations establishing employment standards is not illegal discrimination when the standards are bona fide occupational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A bona fide occupational qualification will also be recognized where there exist special, individual occupational circumstances such as acting or modeling.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Bona fide occupational qualifications do not include assumptions about a protected basis, comparative characteristics of a protected basis, and stereotypes based on a protected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val="false"/>
          <w:color w:val="000000"/>
          <w:sz w:val="22"/>
        </w:rPr>
        <w:t xml:space="preserve">No publication shall advertise employment opportunities containing any indication of a preference, limitation, or restriction based upon age, race, creed, color, sex, sexual orientation, gender identity, national origin, religion, or disability, unless there is a bona fide occupational qualification.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161—8.3</w:t>
      </w:r>
      <w:r>
        <w:rPr>
          <w:rFonts w:ascii="Times New Roman" w:hAnsi="Times New Roman"/>
          <w:b/>
          <w:i w:val="false"/>
          <w:color w:val="000000"/>
          <w:sz w:val="22"/>
        </w:rPr>
        <w:t xml:space="preserve">(216) </w:t>
      </w:r>
      <w:r>
        <w:rPr>
          <w:rFonts w:ascii="Times New Roman" w:hAnsi="Times New Roman"/>
          <w:b/>
          <w:i w:val="false"/>
          <w:color w:val="000000"/>
          <w:sz w:val="22"/>
        </w:rPr>
        <w:t xml:space="preserve">Preemployment inquiries.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Preemployment inquiries into an applicant’s membership in a protected class are not prohibited so far as necessary to determine an applicant’s bona fide occupational qualification for the position. The burden to show the existence of a bona fide occupational qualification shall be on the employer, employment agency, or labor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inquiry: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to whether a job applicant is over 18 years of age,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postemployment inquiries regarding age, race, creed, color, sex, sexual orientation, gender identity, national origin, religion, or disability for legitimate recordkeeping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An employment interviewer shall not ask about a disability unless the inquiry is made in good faith for a nondiscriminatory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161—8.4</w:t>
      </w:r>
      <w:r>
        <w:rPr>
          <w:rFonts w:ascii="Times New Roman" w:hAnsi="Times New Roman"/>
          <w:b w:val="false"/>
          <w:i w:val="false"/>
          <w:color w:val="000000"/>
          <w:sz w:val="22"/>
        </w:rPr>
        <w:t xml:space="preserve"> to </w:t>
      </w:r>
      <w:r>
        <w:rPr>
          <w:rFonts w:ascii="Times New Roman" w:hAnsi="Times New Roman"/>
          <w:b/>
          <w:i w:val="false"/>
          <w:color w:val="000000"/>
          <w:sz w:val="22"/>
        </w:rPr>
        <w:t>8.10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161—8.11</w:t>
      </w:r>
      <w:r>
        <w:rPr>
          <w:rFonts w:ascii="Times New Roman" w:hAnsi="Times New Roman"/>
          <w:b/>
          <w:i w:val="false"/>
          <w:color w:val="000000"/>
          <w:sz w:val="22"/>
        </w:rPr>
        <w:t xml:space="preserve">(216) </w:t>
      </w:r>
      <w:r>
        <w:rPr>
          <w:rFonts w:ascii="Times New Roman" w:hAnsi="Times New Roman"/>
          <w:b/>
          <w:i w:val="false"/>
          <w:color w:val="000000"/>
          <w:sz w:val="22"/>
        </w:rPr>
        <w:t xml:space="preserve">Reasonable accommodations—assessment and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val="false"/>
          <w:color w:val="000000"/>
          <w:sz w:val="22"/>
        </w:rPr>
        <w:t>Employers shall accommodate the known physical or mental limitations of qualified disabled applicants or employees, unless doing so would result in an undue hardship. Employers cannot deny employment opportunities to qualified disabled employees or applicants due to their need for reasonable accommodation.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val="false"/>
          <w:color w:val="000000"/>
          <w:sz w:val="22"/>
        </w:rPr>
        <w:t>Reasonable accommodation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facilities readily accessible to individuals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restructuring, modified work schedules, acquisition or modification of equipment or devices, readers or interpreters, or similar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accommodation would impose an undue hardship on an employer, factors to be considered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of the employer, including the number of employees, number and type of facilities, and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employer’s operation, including the composition and structure of its workforce;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and cost of the accommodation.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161—8.12</w:t>
      </w:r>
      <w:r>
        <w:rPr>
          <w:rFonts w:ascii="Times New Roman" w:hAnsi="Times New Roman"/>
          <w:b/>
          <w:i w:val="false"/>
          <w:color w:val="000000"/>
          <w:sz w:val="22"/>
        </w:rPr>
        <w:t xml:space="preserve">(216) </w:t>
      </w:r>
      <w:r>
        <w:rPr>
          <w:rFonts w:ascii="Times New Roman" w:hAnsi="Times New Roman"/>
          <w:b/>
          <w:i w:val="false"/>
          <w:color w:val="000000"/>
          <w:sz w:val="22"/>
        </w:rPr>
        <w:t xml:space="preserve">Physical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If examinations or assessments are required, they should be designed to determine whether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the ability to perform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qualified to do the work without adverse consequences such as creating a danger to the life or health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professionally competent or has the necessary skills or ability to become professionally competent to perform the duties of the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Physical standards for employment must be reasonable and based on complete, factual information about job duties, working conditions, hazards, and essential physical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161—8.13</w:t>
      </w:r>
      <w:r>
        <w:rPr>
          <w:rFonts w:ascii="Times New Roman" w:hAnsi="Times New Roman"/>
          <w:b/>
          <w:i w:val="false"/>
          <w:color w:val="000000"/>
          <w:sz w:val="22"/>
        </w:rPr>
        <w:t xml:space="preserve">(216) </w:t>
      </w:r>
      <w:r>
        <w:rPr>
          <w:rFonts w:ascii="Times New Roman" w:hAnsi="Times New Roman"/>
          <w:b/>
          <w:i w:val="false"/>
          <w:color w:val="000000"/>
          <w:sz w:val="22"/>
        </w:rPr>
        <w:t xml:space="preserve">Disability arising during employment. </w:t>
      </w:r>
      <w:r>
        <w:rPr>
          <w:rFonts w:ascii="Times New Roman" w:hAnsi="Times New Roman"/>
          <w:b w:val="false"/>
          <w:i w:val="false"/>
          <w:color w:val="000000"/>
          <w:sz w:val="22"/>
        </w:rPr>
        <w:t xml:space="preserve">When an individual becomes disabled during employment, the employer shall provide reasonable accommodations pursuant to rule </w:t>
      </w:r>
      <w:hyperlink r:id="rId4">
        <w:r>
          <w:rPr>
            <w:rStyle w:val="Hyperlink"/>
            <w:rFonts w:ascii="Times New Roman" w:hAnsi="Times New Roman"/>
            <w:b w:val="false"/>
            <w:i w:val="false"/>
            <w:color w:val="000000"/>
            <w:sz w:val="22"/>
          </w:rPr>
          <w:t>161—8.11</w:t>
        </w:r>
      </w:hyperlink>
      <w:r>
        <w:rPr>
          <w:rFonts w:ascii="Times New Roman" w:hAnsi="Times New Roman"/>
          <w:b w:val="false"/>
          <w:i w:val="false"/>
          <w:color w:val="000000"/>
          <w:sz w:val="22"/>
        </w:rPr>
        <w:t>(216).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161—8.14</w:t>
      </w:r>
      <w:r>
        <w:rPr>
          <w:rFonts w:ascii="Times New Roman" w:hAnsi="Times New Roman"/>
          <w:b w:val="false"/>
          <w:i w:val="false"/>
          <w:color w:val="000000"/>
          <w:sz w:val="22"/>
        </w:rPr>
        <w:t xml:space="preserve"> to </w:t>
      </w:r>
      <w:r>
        <w:rPr>
          <w:rFonts w:ascii="Times New Roman" w:hAnsi="Times New Roman"/>
          <w:b/>
          <w:i w:val="false"/>
          <w:color w:val="000000"/>
          <w:sz w:val="22"/>
        </w:rPr>
        <w:t>8.24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161—8.25</w:t>
      </w:r>
      <w:r>
        <w:rPr>
          <w:rFonts w:ascii="Times New Roman" w:hAnsi="Times New Roman"/>
          <w:b/>
          <w:i w:val="false"/>
          <w:color w:val="000000"/>
          <w:sz w:val="22"/>
        </w:rPr>
        <w:t xml:space="preserve">(216) </w:t>
      </w:r>
      <w:r>
        <w:rPr>
          <w:rFonts w:ascii="Times New Roman" w:hAnsi="Times New Roman"/>
          <w:b/>
          <w:i w:val="false"/>
          <w:color w:val="000000"/>
          <w:sz w:val="22"/>
        </w:rPr>
        <w:t xml:space="preserve">Retirement plans and benefit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val="false"/>
          <w:color w:val="000000"/>
          <w:sz w:val="22"/>
        </w:rPr>
        <w:t>An employer shall not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Hire back an employee following retirement;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Hire an applicant for employment whose age is the retirement age under the employer’s retirement plan or benefit system provided that the plan or system is not a mere subterfuge for the purpose of evading the provisions of the 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val="false"/>
          <w:color w:val="000000"/>
          <w:sz w:val="22"/>
        </w:rPr>
        <w:t>Retirement plans shall not require involuntary retirement of a person under the age of 70 because of the person’s age, except where otherwise provided in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val="false"/>
          <w:color w:val="000000"/>
          <w:sz w:val="22"/>
        </w:rPr>
        <w:t>Mandatory retirement based on age will not be applied to members of the Iowa public employees’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8.25(4)</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contributions to insurance, pension, and other programs are not a violation of the Act if those contributions are the same for each employee or if the resulting benefits are equal.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8199C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12/18/70]</w:t>
      </w:r>
    </w:p>
    <w:p>
      <w:pPr>
        <w:spacing w:before="0" w:after="0"/>
        <w:ind w:left="120"/>
        <w:jc w:val="center"/>
      </w:pPr>
      <w:r>
        <w:rPr>
          <w:rFonts w:ascii="Times New Roman" w:hAnsi="Times New Roman"/>
          <w:b w:val="false"/>
          <w:i w:val="false"/>
          <w:color w:val="000000"/>
          <w:sz w:val="21"/>
        </w:rPr>
        <w:t>[Filed 9/15/71]</w:t>
      </w:r>
    </w:p>
    <w:p>
      <w:pPr>
        <w:spacing w:before="0" w:after="0"/>
        <w:ind w:left="120"/>
        <w:jc w:val="center"/>
      </w:pPr>
      <w:r>
        <w:rPr>
          <w:rFonts w:ascii="Times New Roman" w:hAnsi="Times New Roman"/>
          <w:b w:val="false"/>
          <w:i w:val="false"/>
          <w:color w:val="000000"/>
          <w:sz w:val="21"/>
        </w:rPr>
        <w:t>[Filed 10/9/72]</w:t>
      </w:r>
    </w:p>
    <w:p>
      <w:pPr>
        <w:spacing w:before="0" w:after="0"/>
        <w:ind w:left="120"/>
        <w:jc w:val="center"/>
      </w:pPr>
      <w:r>
        <w:rPr>
          <w:rFonts w:ascii="Times New Roman" w:hAnsi="Times New Roman"/>
          <w:b w:val="false"/>
          <w:i w:val="false"/>
          <w:color w:val="000000"/>
          <w:sz w:val="21"/>
        </w:rPr>
        <w:t>[Filed 12/23/74]</w:t>
      </w:r>
    </w:p>
    <w:p>
      <w:pPr>
        <w:spacing w:before="0" w:after="0"/>
        <w:ind w:left="120"/>
        <w:jc w:val="center"/>
      </w:pPr>
      <w:r>
        <w:rPr>
          <w:rFonts w:ascii="Times New Roman" w:hAnsi="Times New Roman"/>
          <w:b w:val="false"/>
          <w:i w:val="false"/>
          <w:color w:val="000000"/>
          <w:sz w:val="21"/>
        </w:rPr>
        <w:t>[Filed 12/23/74, amended 2/14/75]</w:t>
      </w:r>
    </w:p>
    <w:p>
      <w:pPr>
        <w:spacing w:before="0" w:after="0"/>
        <w:ind w:left="120"/>
        <w:jc w:val="center"/>
      </w:pPr>
      <w:r>
        <w:rPr>
          <w:rFonts w:ascii="Times New Roman" w:hAnsi="Times New Roman"/>
          <w:b w:val="false"/>
          <w:i w:val="false"/>
          <w:color w:val="000000"/>
          <w:sz w:val="21"/>
        </w:rPr>
        <w:t>[Filed 2/20/78, Notice 1/11/78—published 3/22/78, effective 4/26/78]</w:t>
      </w:r>
    </w:p>
    <w:p>
      <w:pPr>
        <w:spacing w:before="0" w:after="0"/>
        <w:ind w:left="120"/>
        <w:jc w:val="center"/>
      </w:pPr>
      <w:r>
        <w:rPr>
          <w:rFonts w:ascii="Times New Roman" w:hAnsi="Times New Roman"/>
          <w:b w:val="false"/>
          <w:i w:val="false"/>
          <w:color w:val="000000"/>
          <w:sz w:val="21"/>
        </w:rPr>
        <w:t>[Filed 6/16/78, Notice 5/3/78—published 7/12/78, effective 8/16/78]</w:t>
      </w:r>
    </w:p>
    <w:p>
      <w:pPr>
        <w:spacing w:before="0" w:after="0"/>
        <w:ind w:left="120"/>
        <w:jc w:val="center"/>
      </w:pPr>
      <w:r>
        <w:rPr>
          <w:rFonts w:ascii="Times New Roman" w:hAnsi="Times New Roman"/>
          <w:b w:val="false"/>
          <w:i w:val="false"/>
          <w:color w:val="000000"/>
          <w:sz w:val="21"/>
        </w:rPr>
        <w:t>[Filed emergency 8/18/78—published 9/6/78, effective 8/18/78]</w:t>
      </w:r>
    </w:p>
    <w:p>
      <w:pPr>
        <w:spacing w:before="0" w:after="0"/>
        <w:ind w:left="120"/>
        <w:jc w:val="center"/>
      </w:pPr>
      <w:r>
        <w:rPr>
          <w:rFonts w:ascii="Times New Roman" w:hAnsi="Times New Roman"/>
          <w:b w:val="false"/>
          <w:i w:val="false"/>
          <w:color w:val="000000"/>
          <w:sz w:val="21"/>
        </w:rPr>
        <w:t>[Filed 3/28/79, Notice 1/10/79—published 4/18/79, effective 5/23/79]</w:t>
      </w:r>
    </w:p>
    <w:p>
      <w:pPr>
        <w:spacing w:before="0" w:after="0"/>
        <w:ind w:left="120"/>
        <w:jc w:val="center"/>
      </w:pPr>
      <w:r>
        <w:rPr>
          <w:rFonts w:ascii="Times New Roman" w:hAnsi="Times New Roman"/>
          <w:b w:val="false"/>
          <w:i w:val="false"/>
          <w:color w:val="000000"/>
          <w:sz w:val="21"/>
        </w:rPr>
        <w:t>[Filed 3/28/79, Notice 12/13/79—published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2/27/80, Notice 8/8/79—published 3/19/80, effective 4/23/80]</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emergency 4/23/80—published 5/14/80, effective 4/23/80]</w:t>
      </w:r>
    </w:p>
    <w:p>
      <w:pPr>
        <w:spacing w:before="0" w:after="0"/>
        <w:ind w:left="120"/>
        <w:jc w:val="center"/>
      </w:pPr>
      <w:r>
        <w:rPr>
          <w:rFonts w:ascii="Times New Roman" w:hAnsi="Times New Roman"/>
          <w:b w:val="false"/>
          <w:i w:val="false"/>
          <w:color w:val="000000"/>
          <w:sz w:val="21"/>
        </w:rPr>
        <w:t>[Filed 12/15/87, Notice 8/12/87—published 1/13/88, effective 2/17/88</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8735B</w:t>
      </w:r>
      <w:r>
        <w:rPr>
          <w:rFonts w:ascii="Times New Roman" w:hAnsi="Times New Roman"/>
          <w:b w:val="false"/>
          <w:i w:val="false"/>
          <w:color w:val="000000"/>
          <w:sz w:val="21"/>
        </w:rPr>
        <w:t xml:space="preserve"> (Notice ARC 8562B,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8734B</w:t>
      </w:r>
      <w:r>
        <w:rPr>
          <w:rFonts w:ascii="Times New Roman" w:hAnsi="Times New Roman"/>
          <w:b w:val="false"/>
          <w:i w:val="false"/>
          <w:color w:val="000000"/>
          <w:sz w:val="21"/>
        </w:rPr>
        <w:t xml:space="preserve"> (Notice ARC 8561B,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8736B</w:t>
      </w:r>
      <w:r>
        <w:rPr>
          <w:rFonts w:ascii="Times New Roman" w:hAnsi="Times New Roman"/>
          <w:b w:val="false"/>
          <w:i w:val="false"/>
          <w:color w:val="000000"/>
          <w:sz w:val="21"/>
        </w:rPr>
        <w:t xml:space="preserve"> (Notice ARC 8563B,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8199C</w:t>
      </w:r>
      <w:r>
        <w:rPr>
          <w:rFonts w:ascii="Times New Roman" w:hAnsi="Times New Roman"/>
          <w:b w:val="false"/>
          <w:i w:val="false"/>
          <w:color w:val="000000"/>
          <w:sz w:val="21"/>
        </w:rPr>
        <w:t xml:space="preserve"> (Notice ARC 7313C, IAB 12/27/23)</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Effective date of 240—6.2(6)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8.27(6)</w:t>
      </w:r>
      <w:r>
        <w:rPr>
          <w:rFonts w:ascii="Times New Roman" w:hAnsi="Times New Roman"/>
          <w:b w:val="false"/>
          <w:i/>
          <w:color w:val="000000"/>
          <w:sz w:val="22"/>
        </w:rPr>
        <w:t>“a”</w:t>
      </w:r>
      <w:r>
        <w:rPr>
          <w:rFonts w:ascii="Times New Roman" w:hAnsi="Times New Roman"/>
          <w:b w:val="false"/>
          <w:i w:val="false"/>
          <w:color w:val="000000"/>
          <w:sz w:val="22"/>
        </w:rPr>
        <w:t>(2) and 8.27(6)</w:t>
      </w:r>
      <w:r>
        <w:rPr>
          <w:rFonts w:ascii="Times New Roman" w:hAnsi="Times New Roman"/>
          <w:b w:val="false"/>
          <w:i/>
          <w:color w:val="000000"/>
          <w:sz w:val="22"/>
        </w:rPr>
        <w:t>“b”</w:t>
      </w:r>
      <w:r>
        <w:rPr>
          <w:rFonts w:ascii="Times New Roman" w:hAnsi="Times New Roman"/>
          <w:b w:val="false"/>
          <w:i w:val="false"/>
          <w:color w:val="000000"/>
          <w:sz w:val="22"/>
        </w:rPr>
        <w:t xml:space="preserve"> delayed 70 days by the Administrative Rules Review Committee at their February 11, 1988, meeting.</w:t>
      </w:r>
      <w:r>
        <w:br/>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61.8.11.pdf" Type="http://schemas.openxmlformats.org/officeDocument/2006/relationships/hyperlink" Id="rId4"/>
    <Relationship TargetMode="External" Target="https://www.legis.iowa.gov/docs/ico/chapter/21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