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469</w:t>
      </w:r>
    </w:p>
    <w:p>
      <w:pPr>
        <w:spacing w:before="0" w:after="0"/>
        <w:ind w:left="120"/>
        <w:jc w:val="center"/>
      </w:pPr>
      <w:r>
        <w:rPr>
          <w:rFonts w:ascii="Times New Roman" w:hAnsi="Times New Roman"/>
          <w:b w:val="false"/>
          <w:i w:val="false"/>
          <w:color w:val="000000"/>
          <w:sz w:val="21"/>
        </w:rPr>
        <w:t xml:space="preserve">RENOVATION, REMODELING, AND REPAINTING—LEAD </w:t>
      </w:r>
      <w:r>
        <w:br/>
      </w:r>
      <w:r>
        <w:rPr>
          <w:rFonts w:ascii="Times New Roman" w:hAnsi="Times New Roman"/>
          <w:b w:val="false"/>
          <w:i w:val="false"/>
          <w:color w:val="000000"/>
          <w:sz w:val="21"/>
        </w:rPr>
        <w:t>HAZARD NOTIFICATION PROCESS</w:t>
      </w:r>
    </w:p>
    <w:p>
      <w:pPr>
        <w:spacing w:before="0" w:after="0"/>
        <w:ind w:left="120"/>
        <w:jc w:val="center"/>
      </w:pPr>
      <w:r>
        <w:rPr>
          <w:rFonts w:ascii="Times New Roman" w:hAnsi="Times New Roman"/>
          <w:b w:val="false"/>
          <w:i w:val="false"/>
          <w:color w:val="000000"/>
          <w:sz w:val="20"/>
        </w:rPr>
        <w:t>[Prior to 4/2/25, see Public Health Department[641]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481—469.1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perform renovation, remodeling, or repainting for compensation in target housing or a child-occupied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mailing”</w:t>
      </w:r>
      <w:r>
        <w:rPr>
          <w:rFonts w:ascii="Times New Roman" w:hAnsi="Times New Roman"/>
          <w:b w:val="false"/>
          <w:i w:val="false"/>
          <w:color w:val="000000"/>
          <w:sz w:val="22"/>
        </w:rPr>
        <w:t>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“Components”</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facias, rake boards, corner 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equal to or exceeding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 remodeling, or repainting”</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 remodeling, repainting”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rule </w:t>
      </w:r>
      <w:hyperlink r:id="rId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 xml:space="preserve">(10A) and is performed by a certified lead abatement contractor as defined in rule </w:t>
      </w:r>
      <w:hyperlink r:id="rId7">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481—469.3</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receipt of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and date of signature, of the owner and occupant below the statement from paragraph </w:t>
      </w:r>
      <w:hyperlink r:id="rId9">
        <w:r>
          <w:rPr>
            <w:rStyle w:val="Hyperlink"/>
            <w:rFonts w:ascii="Times New Roman" w:hAnsi="Times New Roman"/>
            <w:b w:val="false"/>
            <w:i w:val="false"/>
            <w:color w:val="000000"/>
            <w:sz w:val="22"/>
          </w:rPr>
          <w:t>469.3(2)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signature cannot be obtained from an adult occupant, the person must certify in writing that the pamphlet was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and a dated signature of the person conducting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acknowledgment from subrule </w:t>
      </w:r>
      <w:hyperlink r:id="rId1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may be included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469.3(4)</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469.3(5)</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481—469.4</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acknowledgment from subrule </w:t>
      </w:r>
      <w:hyperlink r:id="rId11">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occupant of the multifamily housing, in writing, of the intended remodeling, repainting, or renovation, and make a pamphlet as described in subrule </w:t>
      </w:r>
      <w:hyperlink r:id="rId1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469.4(5)</w:t>
      </w:r>
      <w:r>
        <w:rPr>
          <w:rFonts w:ascii="Times New Roman" w:hAnsi="Times New Roman"/>
          <w:b w:val="false"/>
          <w:i w:val="false"/>
          <w:color w:val="000000"/>
          <w:sz w:val="22"/>
        </w:rPr>
        <w:t> </w:t>
      </w:r>
      <w:r>
        <w:rPr>
          <w:rFonts w:ascii="Times New Roman" w:hAnsi="Times New Roman"/>
          <w:b w:val="false"/>
          <w:i w:val="false"/>
          <w:color w:val="000000"/>
          <w:sz w:val="22"/>
        </w:rPr>
        <w:t>These activities may be conducted by the owner on behalf of the person planning to perform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469.4(6)</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sign, and date a statement describing the steps performed to notify all occupants of the intended renovation, remodeling, or repainting, and to provide a pamphlet as described in subrule </w:t>
      </w:r>
      <w:hyperlink r:id="rId14">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upon request. Regardless of who performs the notification activities in this rule, the person planning to conduct the renovation, remodeling, or repainting is responsible for ensuring compliance will be liable for any failure to comply with the notification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469.4(7)</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5">
        <w:r>
          <w:rPr>
            <w:rStyle w:val="Hyperlink"/>
            <w:rFonts w:ascii="Times New Roman" w:hAnsi="Times New Roman"/>
            <w:b w:val="false"/>
            <w:i w:val="false"/>
            <w:color w:val="000000"/>
            <w:sz w:val="22"/>
          </w:rPr>
          <w:t>469.3(4)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469.3(5)</w:t>
        </w:r>
      </w:hyperlink>
      <w:r>
        <w:rPr>
          <w:rFonts w:ascii="Times New Roman" w:hAnsi="Times New Roman"/>
          <w:b w:val="false"/>
          <w:i w:val="false"/>
          <w:color w:val="000000"/>
          <w:sz w:val="22"/>
        </w:rPr>
        <w:t xml:space="preserve"> are applicable as if set forth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481—469.5</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pamphlet as described in subrule </w:t>
      </w:r>
      <w:hyperlink r:id="rId1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owner and occupant of the target housing, in writing, of the remodeling, repainting, or renovation, and make a pamphlet as described in subrule </w:t>
      </w:r>
      <w:hyperlink r:id="rId18">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owner and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9">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activities may be conducted by the owner on behalf of the person performing the renovation, remodeling, or repainting. The person planning to perform the renovation, remodeling, or repainting must prepare, sign, and date a statement describing the steps performed to notify all occupants of the intended renovation, remodeling, or repainting and, upon request, provide a pamphlet as described in subrule </w:t>
      </w:r>
      <w:hyperlink r:id="rId2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Regardless of who performs the notification activities in this rule, the person conducting the renovation, remodeling, or repainting is responsible for ensuring compliance with this rule and will be liable for any failure to comply with the notification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481—469.6</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21">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In addition to subrule </w:t>
      </w:r>
      <w:hyperlink r:id="rId2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469.6(1)</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printed name and dated signature of the person conducting the renovation, remodeling, or repainting, the address of the unit, and the attempted delivery dates and times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469.6(2)</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printed name and dated signature of the person conducting the renovation, remodeling, or repainting, the address of the unit, the attempted delivery dates and times, and the location where the pamphlet was left at the unit (e.g., taped to the door, slipped under the door)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481—469.7</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will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will certify in writing that the pamphlet has been delivered to the building and that a written acknowledgment could not be obtained from an owner. Such certification will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owners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entitled Lead Poisoning: How to Protect Iowa Families or the federal pamphlet, Renovate Right, to the operator of the child-occupied facility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will certify in writing that the pamphlet has been delivered to the building and that a written acknowledgment could not be obtained from the operator of the child-occupied facility. Such certification will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operator of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will be provided no more than 60 days prior to commencing the work.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3">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4">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will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revised information on the ongoing or planned activities to the parents and guardians of children frequenting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481—469.8</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will be accomplished by distributing written notice to each owner and, if different, operator of the child-occupied facility. The notice will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entitled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or guardians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5">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6">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481—469.9</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 xml:space="preserve">When the owner and, if different, operator of a child-occupied facility are unavailable for signature or refuse to sign the acknowledgment of receipt of the pamphlet, the person conducting the renovation, remodeling, or repainting is permitted by subrule </w:t>
      </w:r>
      <w:hyperlink r:id="rId2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The certification will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of the child-occupied facility was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481—469.10</w:t>
      </w:r>
      <w:r>
        <w:rPr>
          <w:rFonts w:ascii="Times New Roman" w:hAnsi="Times New Roman"/>
          <w:b/>
          <w:i w:val="false"/>
          <w:color w:val="000000"/>
          <w:sz w:val="22"/>
        </w:rPr>
        <w:t xml:space="preserve">(10A)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rules </w:t>
      </w:r>
      <w:hyperlink r:id="rId28">
        <w:r>
          <w:rPr>
            <w:rStyle w:val="Hyperlink"/>
            <w:rFonts w:ascii="Times New Roman" w:hAnsi="Times New Roman"/>
            <w:b w:val="false"/>
            <w:i w:val="false"/>
            <w:color w:val="000000"/>
            <w:sz w:val="22"/>
          </w:rPr>
          <w:t>481—469.3</w:t>
        </w:r>
      </w:hyperlink>
      <w:r>
        <w:rPr>
          <w:rFonts w:ascii="Times New Roman" w:hAnsi="Times New Roman"/>
          <w:b w:val="false"/>
          <w:i w:val="false"/>
          <w:color w:val="000000"/>
          <w:sz w:val="22"/>
        </w:rPr>
        <w:t xml:space="preserve">(10A), </w:t>
      </w:r>
      <w:hyperlink r:id="rId29">
        <w:r>
          <w:rPr>
            <w:rStyle w:val="Hyperlink"/>
            <w:rFonts w:ascii="Times New Roman" w:hAnsi="Times New Roman"/>
            <w:b w:val="false"/>
            <w:i w:val="false"/>
            <w:color w:val="000000"/>
            <w:sz w:val="22"/>
          </w:rPr>
          <w:t>481—469.4</w:t>
        </w:r>
      </w:hyperlink>
      <w:r>
        <w:rPr>
          <w:rFonts w:ascii="Times New Roman" w:hAnsi="Times New Roman"/>
          <w:b w:val="false"/>
          <w:i w:val="false"/>
          <w:color w:val="000000"/>
          <w:sz w:val="22"/>
        </w:rPr>
        <w:t xml:space="preserve">(10A), </w:t>
      </w:r>
      <w:hyperlink r:id="rId30">
        <w:r>
          <w:rPr>
            <w:rStyle w:val="Hyperlink"/>
            <w:rFonts w:ascii="Times New Roman" w:hAnsi="Times New Roman"/>
            <w:b w:val="false"/>
            <w:i w:val="false"/>
            <w:color w:val="000000"/>
            <w:sz w:val="22"/>
          </w:rPr>
          <w:t>481—469.5</w:t>
        </w:r>
      </w:hyperlink>
      <w:r>
        <w:rPr>
          <w:rFonts w:ascii="Times New Roman" w:hAnsi="Times New Roman"/>
          <w:b w:val="false"/>
          <w:i w:val="false"/>
          <w:color w:val="000000"/>
          <w:sz w:val="22"/>
        </w:rPr>
        <w:t xml:space="preserve">(10A), and </w:t>
      </w:r>
      <w:hyperlink r:id="rId31">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 xml:space="preserve">(10A).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481—469.11</w:t>
      </w:r>
      <w:r>
        <w:rPr>
          <w:rFonts w:ascii="Times New Roman" w:hAnsi="Times New Roman"/>
          <w:b/>
          <w:i w:val="false"/>
          <w:color w:val="000000"/>
          <w:sz w:val="22"/>
        </w:rPr>
        <w:t xml:space="preserve">(10A) </w:t>
      </w:r>
      <w:r>
        <w:rPr>
          <w:rFonts w:ascii="Times New Roman" w:hAnsi="Times New Roman"/>
          <w:b/>
          <w:i w:val="false"/>
          <w:color w:val="000000"/>
          <w:sz w:val="22"/>
        </w:rPr>
        <w:t xml:space="preserve">Exemption. </w:t>
      </w:r>
      <w:r>
        <w:rPr>
          <w:rFonts w:ascii="Times New Roman" w:hAnsi="Times New Roman"/>
          <w:b w:val="false"/>
          <w:i w:val="false"/>
          <w:color w:val="000000"/>
          <w:sz w:val="22"/>
        </w:rPr>
        <w:t xml:space="preserve">Renovation, remodeling, or repainting in target housing or a child-occupied facility in which a lead inspector/risk assessor or elevated blood lead (EBL) inspector/risk assessor certified pursuant to </w:t>
      </w:r>
      <w:hyperlink r:id="rId32">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 and where the person conducting the renovation, remodeling, or repainting has obtained a copy of the written determination is exempt from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481—469.12</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A person who conducts renovation, remodeling, or repainting for compensation in target housing or a child-occupied facility shall retain records necessary to demonstrate compliance with this chapter for a minimum of three years following completion of the renovation, remodeling, or repainting,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target housing or child-occupied facility where remodeling, renovation,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469.12(2)</w:t>
      </w:r>
      <w:r>
        <w:rPr>
          <w:rFonts w:ascii="Times New Roman" w:hAnsi="Times New Roman"/>
          <w:b w:val="false"/>
          <w:i w:val="false"/>
          <w:color w:val="000000"/>
          <w:sz w:val="22"/>
        </w:rPr>
        <w:t> </w:t>
      </w:r>
      <w:r>
        <w:rPr>
          <w:rFonts w:ascii="Times New Roman" w:hAnsi="Times New Roman"/>
          <w:b w:val="false"/>
          <w:i w:val="false"/>
          <w:color w:val="000000"/>
          <w:sz w:val="22"/>
        </w:rPr>
        <w:t>A list of all known occupants of the dwelling units where renovation, remodeling, or repainting was conducted at the commencement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notifications, and notification materials required by subrules </w:t>
      </w:r>
      <w:hyperlink r:id="rId3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481—469.7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469.12(4)</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showing that a lead inspector/risk assessor or elevated blood level (EBL) inspector/risk assessor certified pursuant to </w:t>
      </w:r>
      <w:hyperlink r:id="rId3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of attempted delivery as described in rule </w:t>
      </w:r>
      <w:hyperlink r:id="rId37">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469.12(6)</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mailing as described in subrules </w:t>
      </w:r>
      <w:hyperlink r:id="rId38">
        <w:r>
          <w:rPr>
            <w:rStyle w:val="Hyperlink"/>
            <w:rFonts w:ascii="Times New Roman" w:hAnsi="Times New Roman"/>
            <w:b w:val="false"/>
            <w:i w:val="false"/>
            <w:color w:val="000000"/>
            <w:sz w:val="22"/>
          </w:rPr>
          <w:t>469.3(3)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469.4(3)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481—469.13</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r>
        <w:rPr>
          <w:rFonts w:ascii="Times New Roman" w:hAnsi="Times New Roman"/>
          <w:b w:val="false"/>
          <w:i w:val="false"/>
          <w:color w:val="000000"/>
          <w:sz w:val="22"/>
        </w:rPr>
        <w:t>The department may enter the place of business of a person who conducts renovation, remodeling, or repainting for the purpose of enforcing the notification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481—469.14</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0">
        <w:r>
          <w:rPr>
            <w:rStyle w:val="Hyperlink"/>
            <w:rFonts w:ascii="Times New Roman" w:hAnsi="Times New Roman"/>
            <w:b w:val="false"/>
            <w:i w:val="false"/>
            <w:color w:val="000000"/>
            <w:sz w:val="22"/>
          </w:rPr>
          <w:t>10A.903(2)</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41">
        <w:r>
          <w:rPr>
            <w:rStyle w:val="Hyperlink"/>
            <w:rFonts w:ascii="Times New Roman" w:hAnsi="Times New Roman"/>
            <w:b w:val="false"/>
            <w:i w:val="false"/>
            <w:color w:val="000000"/>
            <w:sz w:val="22"/>
          </w:rPr>
          <w:t>469.14(1)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may be submitted to the department using contact information as set forth in </w:t>
      </w:r>
      <w:hyperlink r:id="rId42">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The complainant should provide the name of the person who performs renovation, remodeling, or repainting for compensation in target housing or a child-occupied facility and specific details of the person’s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4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of the date of a notice of violation or other time specified in the notice, the person charged may either pay the penalty in the amount proposed,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 If the person charged with a violation fails to answer within the time specified in paragraph </w:t>
      </w:r>
      <w:hyperlink r:id="rId44">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45">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a violation timely requests a contested case hearing, it will be initiated and held in accordance with </w:t>
      </w:r>
      <w:hyperlink r:id="rId4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481—469.15</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4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9">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After Notice ARC 8501B</w:t>
      </w:r>
      <w:r>
        <w:rPr>
          <w:rFonts w:ascii="Times New Roman" w:hAnsi="Times New Roman"/>
          <w:b w:val="false"/>
          <w:i w:val="false"/>
          <w:color w:val="000000"/>
          <w:sz w:val="21"/>
        </w:rPr>
        <w:t xml:space="preserve"> (Notice ARC 8355B,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5684C</w:t>
      </w:r>
      <w:r>
        <w:rPr>
          <w:rFonts w:ascii="Times New Roman" w:hAnsi="Times New Roman"/>
          <w:b w:val="false"/>
          <w:i w:val="false"/>
          <w:color w:val="000000"/>
          <w:sz w:val="21"/>
        </w:rPr>
        <w:t xml:space="preserve"> (Notice ARC 5519C,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8907C</w:t>
      </w:r>
      <w:r>
        <w:rPr>
          <w:rFonts w:ascii="Times New Roman" w:hAnsi="Times New Roman"/>
          <w:b w:val="false"/>
          <w:i w:val="false"/>
          <w:color w:val="000000"/>
          <w:sz w:val="21"/>
        </w:rPr>
        <w:t xml:space="preserve"> (Notice ARC 8671C,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sectPr>
      <w:footerReference r:id="rId5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903.pdf" Type="http://schemas.openxmlformats.org/officeDocument/2006/relationships/hyperlink" Id="rId5"/>
    <Relationship TargetMode="External" Target="https://www.legis.iowa.gov/docs/iac/rule/481.470.2.pdf" Type="http://schemas.openxmlformats.org/officeDocument/2006/relationships/hyperlink" Id="rId6"/>
    <Relationship TargetMode="External" Target="https://www.legis.iowa.gov/docs/iac/rule/481.470.2.pdf" Type="http://schemas.openxmlformats.org/officeDocument/2006/relationships/hyperlink" Id="rId7"/>
    <Relationship TargetMode="External" Target="https://www.legis.iowa.gov/docs/ico/chapter/10A.903.pdf" Type="http://schemas.openxmlformats.org/officeDocument/2006/relationships/hyperlink" Id="rId8"/>
    <Relationship TargetMode="External" Target="https://www.legis.iowa.gov/docs/iac/rule/481.469.3.pdf" Type="http://schemas.openxmlformats.org/officeDocument/2006/relationships/hyperlink" Id="rId9"/>
    <Relationship TargetMode="External" Target="https://www.legis.iowa.gov/docs/iac/rule/481.469.3.pdf" Type="http://schemas.openxmlformats.org/officeDocument/2006/relationships/hyperlink" Id="rId10"/>
    <Relationship TargetMode="External" Target="https://www.legis.iowa.gov/docs/iac/rule/481.469.4.pdf" Type="http://schemas.openxmlformats.org/officeDocument/2006/relationships/hyperlink" Id="rId11"/>
    <Relationship TargetMode="External" Target="https://www.legis.iowa.gov/docs/iac/rule/481.469.3.pdf" Type="http://schemas.openxmlformats.org/officeDocument/2006/relationships/hyperlink" Id="rId12"/>
    <Relationship TargetMode="External" Target="https://www.legis.iowa.gov/docs/iac/rule/481.469.3.pdf" Type="http://schemas.openxmlformats.org/officeDocument/2006/relationships/hyperlink" Id="rId13"/>
    <Relationship TargetMode="External" Target="https://www.legis.iowa.gov/docs/iac/rule/481.469.3.pdf" Type="http://schemas.openxmlformats.org/officeDocument/2006/relationships/hyperlink" Id="rId14"/>
    <Relationship TargetMode="External" Target="https://www.legis.iowa.gov/docs/iac/rule/481.469.3.pdf" Type="http://schemas.openxmlformats.org/officeDocument/2006/relationships/hyperlink" Id="rId15"/>
    <Relationship TargetMode="External" Target="https://www.legis.iowa.gov/docs/iac/rule/481.469.3.pdf" Type="http://schemas.openxmlformats.org/officeDocument/2006/relationships/hyperlink" Id="rId16"/>
    <Relationship TargetMode="External" Target="https://www.legis.iowa.gov/docs/iac/rule/481.469.3.pdf" Type="http://schemas.openxmlformats.org/officeDocument/2006/relationships/hyperlink" Id="rId17"/>
    <Relationship TargetMode="External" Target="https://www.legis.iowa.gov/docs/iac/rule/481.469.3.pdf" Type="http://schemas.openxmlformats.org/officeDocument/2006/relationships/hyperlink" Id="rId18"/>
    <Relationship TargetMode="External" Target="https://www.legis.iowa.gov/docs/iac/rule/481.469.3.pdf" Type="http://schemas.openxmlformats.org/officeDocument/2006/relationships/hyperlink" Id="rId19"/>
    <Relationship TargetMode="External" Target="https://www.legis.iowa.gov/docs/iac/rule/481.469.3.pdf" Type="http://schemas.openxmlformats.org/officeDocument/2006/relationships/hyperlink" Id="rId20"/>
    <Relationship TargetMode="External" Target="https://www.legis.iowa.gov/docs/iac/rule/481.469.3.pdf" Type="http://schemas.openxmlformats.org/officeDocument/2006/relationships/hyperlink" Id="rId21"/>
    <Relationship TargetMode="External" Target="https://www.legis.iowa.gov/docs/iac/rule/481.469.3.pdf" Type="http://schemas.openxmlformats.org/officeDocument/2006/relationships/hyperlink" Id="rId22"/>
    <Relationship TargetMode="External" Target="https://www.legis.iowa.gov/docs/iac/rule/481.469.7.pdf" Type="http://schemas.openxmlformats.org/officeDocument/2006/relationships/hyperlink" Id="rId23"/>
    <Relationship TargetMode="External" Target="https://www.legis.iowa.gov/docs/iac/rule/481.469.7.pdf" Type="http://schemas.openxmlformats.org/officeDocument/2006/relationships/hyperlink" Id="rId24"/>
    <Relationship TargetMode="External" Target="https://www.legis.iowa.gov/docs/iac/rule/481.469.8.pdf" Type="http://schemas.openxmlformats.org/officeDocument/2006/relationships/hyperlink" Id="rId25"/>
    <Relationship TargetMode="External" Target="https://www.legis.iowa.gov/docs/iac/rule/481.469.8.pdf" Type="http://schemas.openxmlformats.org/officeDocument/2006/relationships/hyperlink" Id="rId26"/>
    <Relationship TargetMode="External" Target="https://www.legis.iowa.gov/docs/iac/rule/481.469.3.pdf" Type="http://schemas.openxmlformats.org/officeDocument/2006/relationships/hyperlink" Id="rId27"/>
    <Relationship TargetMode="External" Target="https://www.legis.iowa.gov/docs/iac/rule/481.469.3.pdf" Type="http://schemas.openxmlformats.org/officeDocument/2006/relationships/hyperlink" Id="rId28"/>
    <Relationship TargetMode="External" Target="https://www.legis.iowa.gov/docs/iac/rule/481.469.4.pdf" Type="http://schemas.openxmlformats.org/officeDocument/2006/relationships/hyperlink" Id="rId29"/>
    <Relationship TargetMode="External" Target="https://www.legis.iowa.gov/docs/iac/rule/481.469.5.pdf" Type="http://schemas.openxmlformats.org/officeDocument/2006/relationships/hyperlink" Id="rId30"/>
    <Relationship TargetMode="External" Target="https://www.legis.iowa.gov/docs/iac/rule/481.469.6.pdf" Type="http://schemas.openxmlformats.org/officeDocument/2006/relationships/hyperlink" Id="rId31"/>
    <Relationship TargetMode="External" Target="https://www.legis.iowa.gov/docs/iac/chapter/481.470.pdf" Type="http://schemas.openxmlformats.org/officeDocument/2006/relationships/hyperlink" Id="rId32"/>
    <Relationship TargetMode="External" Target="https://www.legis.iowa.gov/docs/iac/rule/481.469.3.pdf" Type="http://schemas.openxmlformats.org/officeDocument/2006/relationships/hyperlink" Id="rId33"/>
    <Relationship TargetMode="External" Target="https://www.legis.iowa.gov/docs/iac/rule/481.469.4.pdf" Type="http://schemas.openxmlformats.org/officeDocument/2006/relationships/hyperlink" Id="rId34"/>
    <Relationship TargetMode="External" Target="https://www.legis.iowa.gov/docs/iac/rule/481.469.7.pdf" Type="http://schemas.openxmlformats.org/officeDocument/2006/relationships/hyperlink" Id="rId35"/>
    <Relationship TargetMode="External" Target="https://www.legis.iowa.gov/docs/iac/chapter/481.470.pdf" Type="http://schemas.openxmlformats.org/officeDocument/2006/relationships/hyperlink" Id="rId36"/>
    <Relationship TargetMode="External" Target="https://www.legis.iowa.gov/docs/iac/rule/481.469.6.pdf" Type="http://schemas.openxmlformats.org/officeDocument/2006/relationships/hyperlink" Id="rId37"/>
    <Relationship TargetMode="External" Target="https://www.legis.iowa.gov/docs/iac/rule/481.469.3.pdf" Type="http://schemas.openxmlformats.org/officeDocument/2006/relationships/hyperlink" Id="rId38"/>
    <Relationship TargetMode="External" Target="https://www.legis.iowa.gov/docs/iac/rule/481.469.4.pdf" Type="http://schemas.openxmlformats.org/officeDocument/2006/relationships/hyperlink" Id="rId39"/>
    <Relationship TargetMode="External" Target="https://www.legis.iowa.gov/docs/ico/chapter/10A.903.pdf" Type="http://schemas.openxmlformats.org/officeDocument/2006/relationships/hyperlink" Id="rId40"/>
    <Relationship TargetMode="External" Target="https://www.legis.iowa.gov/docs/iac/rule/481.469.14.pdf" Type="http://schemas.openxmlformats.org/officeDocument/2006/relationships/hyperlink" Id="rId41"/>
    <Relationship TargetMode="External" Target="https://www.legis.iowa.gov/docs/iac/chapter/481.1.pdf" Type="http://schemas.openxmlformats.org/officeDocument/2006/relationships/hyperlink" Id="rId42"/>
    <Relationship TargetMode="External" Target="https://www.legis.iowa.gov/docs/ico/chapter/10A.903.pdf" Type="http://schemas.openxmlformats.org/officeDocument/2006/relationships/hyperlink" Id="rId43"/>
    <Relationship TargetMode="External" Target="https://www.legis.iowa.gov/docs/iac/rule/481.469.14.pdf" Type="http://schemas.openxmlformats.org/officeDocument/2006/relationships/hyperlink" Id="rId44"/>
    <Relationship TargetMode="External" Target="https://www.legis.iowa.gov/docs/iac/rule/481.469.14.pdf" Type="http://schemas.openxmlformats.org/officeDocument/2006/relationships/hyperlink" Id="rId45"/>
    <Relationship TargetMode="External" Target="https://www.legis.iowa.gov/docs/iac/chapter/7.2506.pdf" Type="http://schemas.openxmlformats.org/officeDocument/2006/relationships/hyperlink" Id="rId46"/>
    <Relationship TargetMode="External" Target="https://www.legis.iowa.gov/docs/iac/chapter/481.10.pdf" Type="http://schemas.openxmlformats.org/officeDocument/2006/relationships/hyperlink" Id="rId47"/>
    <Relationship TargetMode="External" Target="https://www.legis.iowa.gov/docs/iac/chapter/7.2504.pdf" Type="http://schemas.openxmlformats.org/officeDocument/2006/relationships/hyperlink" Id="rId48"/>
    <Relationship TargetMode="External" Target="https://www.legis.iowa.gov/docs/ico/chapter/10A.903.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