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APPLICATION PROCEDURES</w:t>
      </w:r>
    </w:p>
    <w:p>
      <w:pPr>
        <w:spacing w:before="0" w:after="0"/>
        <w:ind w:left="120"/>
        <w:jc w:val="center"/>
      </w:pPr>
      <w:r>
        <w:rPr>
          <w:rFonts w:ascii="Times New Roman" w:hAnsi="Times New Roman"/>
          <w:b w:val="false"/>
          <w:i w:val="false"/>
          <w:color w:val="000000"/>
          <w:sz w:val="14"/>
        </w:rPr>
        <w:t>[Prior to 4/22/87, see Banking Department[140] Ch 2]</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187—2.1</w:t>
      </w:r>
      <w:r>
        <w:rPr>
          <w:rFonts w:ascii="Times New Roman" w:hAnsi="Times New Roman"/>
          <w:b/>
          <w:i w:val="false"/>
          <w:color w:val="000000"/>
          <w:sz w:val="22"/>
        </w:rPr>
        <w:t xml:space="preserve">(17A,524) </w:t>
      </w:r>
      <w:r>
        <w:rPr>
          <w:rFonts w:ascii="Times New Roman" w:hAnsi="Times New Roman"/>
          <w:b/>
          <w:i w:val="false"/>
          <w:color w:val="000000"/>
          <w:sz w:val="22"/>
        </w:rPr>
        <w:t xml:space="preserve">Organization of a state-chartered bank.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Persons desiring to organize a state-chartered bank should first meet with the superintendent to discuss the proposal. An “Application to Organize a State Bank” and supplementary forms may be obtained for submission to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superintendent may conduct an investigation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color w:val="000000"/>
          <w:sz w:val="22"/>
        </w:rPr>
        <w:t xml:space="preserve">Preliminary approval. </w:t>
      </w:r>
      <w:r>
        <w:rPr>
          <w:rFonts w:ascii="Times New Roman" w:hAnsi="Times New Roman"/>
          <w:b w:val="false"/>
          <w:i w:val="false"/>
          <w:color w:val="000000"/>
          <w:sz w:val="22"/>
        </w:rPr>
        <w:t>The superintendent may grant preliminary approval of an application to organize a state-chartered bank. If preliminary approval is granted, the superintendent may, if it is determined that such action is necessary or desirable for the protection of the public interest, at any time withdraw that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superintendent shall approve or deny the application within 180 days after the application has been accepted for processing. The decision by the superintendent shall be conveyed in writing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w:t>
      </w:r>
      <w:r>
        <w:rPr>
          <w:rFonts w:ascii="Times New Roman" w:hAnsi="Times New Roman"/>
          <w:b w:val="false"/>
          <w:i w:val="false"/>
          <w:color w:val="000000"/>
          <w:sz w:val="22"/>
        </w:rPr>
        <w:t> </w:t>
      </w:r>
      <w:r>
        <w:rPr>
          <w:rFonts w:ascii="Times New Roman" w:hAnsi="Times New Roman"/>
          <w:b w:val="false"/>
          <w:i/>
          <w:color w:val="000000"/>
          <w:sz w:val="22"/>
        </w:rPr>
        <w:t xml:space="preserve">Corporate organization. </w:t>
      </w:r>
      <w:r>
        <w:rPr>
          <w:rFonts w:ascii="Times New Roman" w:hAnsi="Times New Roman"/>
          <w:b w:val="false"/>
          <w:i w:val="false"/>
          <w:color w:val="000000"/>
          <w:sz w:val="22"/>
        </w:rPr>
        <w:t>The proposed state bank does not come into existence until articles of incorporation have been approved by the superintendent and filed and recorded by the secretary of state and a certificate of incorporation has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w:t>
      </w:r>
      <w:r>
        <w:rPr>
          <w:rFonts w:ascii="Times New Roman" w:hAnsi="Times New Roman"/>
          <w:b w:val="false"/>
          <w:i w:val="false"/>
          <w:color w:val="000000"/>
          <w:sz w:val="22"/>
        </w:rPr>
        <w:t> </w:t>
      </w:r>
      <w:r>
        <w:rPr>
          <w:rFonts w:ascii="Times New Roman" w:hAnsi="Times New Roman"/>
          <w:b w:val="false"/>
          <w:i/>
          <w:color w:val="000000"/>
          <w:sz w:val="22"/>
        </w:rPr>
        <w:t xml:space="preserve">Commencement of business. </w:t>
      </w:r>
      <w:r>
        <w:rPr>
          <w:rFonts w:ascii="Times New Roman" w:hAnsi="Times New Roman"/>
          <w:b w:val="false"/>
          <w:i w:val="false"/>
          <w:color w:val="000000"/>
          <w:sz w:val="22"/>
        </w:rPr>
        <w:t>If the superintendent is satisfied that the proposed state bank has met all requirements and conditions and is ready to commence business, the superintendent shall issue an Authorization To Do Business which provides that the state bank is authorized to commence business as of a specified date.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524.303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187—2.2</w:t>
      </w:r>
      <w:r>
        <w:rPr>
          <w:rFonts w:ascii="Times New Roman" w:hAnsi="Times New Roman"/>
          <w:b/>
          <w:i w:val="false"/>
          <w:color w:val="000000"/>
          <w:sz w:val="22"/>
        </w:rPr>
        <w:t xml:space="preserve">(17A,524) </w:t>
      </w:r>
      <w:r>
        <w:rPr>
          <w:rFonts w:ascii="Times New Roman" w:hAnsi="Times New Roman"/>
          <w:b/>
          <w:i w:val="false"/>
          <w:color w:val="000000"/>
          <w:sz w:val="22"/>
        </w:rPr>
        <w:t xml:space="preserve">Conversion of national bank into state bank.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national bank desiring to become a state bank should first meet with the superintendent to discuss the proposal. An application and supplementary forms may be obtained for submission to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color w:val="000000"/>
          <w:sz w:val="22"/>
        </w:rPr>
        <w:t xml:space="preserve">Examination and investigation. </w:t>
      </w:r>
      <w:r>
        <w:rPr>
          <w:rFonts w:ascii="Times New Roman" w:hAnsi="Times New Roman"/>
          <w:b w:val="false"/>
          <w:i w:val="false"/>
          <w:color w:val="000000"/>
          <w:sz w:val="22"/>
        </w:rPr>
        <w:t>The superintendent may conduct an examination or investigation of the national bank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superintendent shall approve or deny the application within 90 days after the application has been accepted for processing. The decision by the superintendent shall be conveyed in writing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w:t>
      </w:r>
      <w:r>
        <w:rPr>
          <w:rFonts w:ascii="Times New Roman" w:hAnsi="Times New Roman"/>
          <w:b w:val="false"/>
          <w:i w:val="false"/>
          <w:color w:val="000000"/>
          <w:sz w:val="22"/>
        </w:rPr>
        <w:t> </w:t>
      </w:r>
      <w:r>
        <w:rPr>
          <w:rFonts w:ascii="Times New Roman" w:hAnsi="Times New Roman"/>
          <w:b w:val="false"/>
          <w:i/>
          <w:color w:val="000000"/>
          <w:sz w:val="22"/>
        </w:rPr>
        <w:t xml:space="preserve">Corporate documents. </w:t>
      </w:r>
      <w:r>
        <w:rPr>
          <w:rFonts w:ascii="Times New Roman" w:hAnsi="Times New Roman"/>
          <w:b w:val="false"/>
          <w:i w:val="false"/>
          <w:color w:val="000000"/>
          <w:sz w:val="22"/>
        </w:rPr>
        <w:t>If approval is granted, articles of conversion with a plan of conversion attached shall be delivered to the secretary of state for filing and recording.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w:t>
      </w:r>
      <w:r>
        <w:rPr>
          <w:rFonts w:ascii="Times New Roman" w:hAnsi="Times New Roman"/>
          <w:b w:val="false"/>
          <w:i w:val="false"/>
          <w:color w:val="000000"/>
          <w:sz w:val="22"/>
        </w:rPr>
        <w:t> </w:t>
      </w:r>
      <w:r>
        <w:rPr>
          <w:rFonts w:ascii="Times New Roman" w:hAnsi="Times New Roman"/>
          <w:b w:val="false"/>
          <w:i/>
          <w:color w:val="000000"/>
          <w:sz w:val="22"/>
        </w:rPr>
        <w:t xml:space="preserve">Commencement of business as state bank. </w:t>
      </w:r>
      <w:r>
        <w:rPr>
          <w:rFonts w:ascii="Times New Roman" w:hAnsi="Times New Roman"/>
          <w:b w:val="false"/>
          <w:i w:val="false"/>
          <w:color w:val="000000"/>
          <w:sz w:val="22"/>
        </w:rPr>
        <w:t>The conversion shall be effective as of the date of filing of articles of conversion in the office of the secretary of state unless a later date is specified in the articles of conversion. The superintendent’s Authorization To Do Business as a state bank will be issued to be effective on the date of conversion.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w:t>
      </w:r>
      <w:r>
        <w:rPr>
          <w:rFonts w:ascii="Times New Roman" w:hAnsi="Times New Roman"/>
          <w:b w:val="false"/>
          <w:i w:val="false"/>
          <w:color w:val="000000"/>
          <w:sz w:val="22"/>
        </w:rPr>
        <w:t> </w:t>
      </w:r>
      <w:r>
        <w:rPr>
          <w:rFonts w:ascii="Times New Roman" w:hAnsi="Times New Roman"/>
          <w:b w:val="false"/>
          <w:i/>
          <w:color w:val="000000"/>
          <w:sz w:val="22"/>
        </w:rPr>
        <w:t xml:space="preserve">Resulting state bank. </w:t>
      </w:r>
      <w:r>
        <w:rPr>
          <w:rFonts w:ascii="Times New Roman" w:hAnsi="Times New Roman"/>
          <w:b w:val="false"/>
          <w:i w:val="false"/>
          <w:color w:val="000000"/>
          <w:sz w:val="22"/>
        </w:rPr>
        <w:t>The resulting state bank shall submit the oath of directors, list of shareholders, and certificate of elections and appointments to the superintendent on forms to be provided by the superintendent. The oath of directors is to be signed prior to the first meeting of the board of directors following the effective date of the conversion. The list of shareholders is to be completed as of the effective date of conversion.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524.1410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524.1413 to 524.1415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6796C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187—2.3</w:t>
      </w:r>
      <w:r>
        <w:rPr>
          <w:rFonts w:ascii="Times New Roman" w:hAnsi="Times New Roman"/>
          <w:b/>
          <w:i w:val="false"/>
          <w:color w:val="000000"/>
          <w:sz w:val="22"/>
        </w:rPr>
        <w:t xml:space="preserve">(17A,524) </w:t>
      </w:r>
      <w:r>
        <w:rPr>
          <w:rFonts w:ascii="Times New Roman" w:hAnsi="Times New Roman"/>
          <w:b/>
          <w:i w:val="false"/>
          <w:color w:val="000000"/>
          <w:sz w:val="22"/>
        </w:rPr>
        <w:t xml:space="preserve">Merger or purchase and assumption.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 the term “merger” means a merger in which the resulting bank is a state bank.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State banks or national and state banks desiring to merge or a state bank desiring to purchase the assets and assume the liabilities of another bank should first meet with the superintendent to discuss the proposal. An application and supplementary forms may be obtained for submission to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color w:val="000000"/>
          <w:sz w:val="22"/>
        </w:rPr>
        <w:t xml:space="preserve"> State bank as seller. </w:t>
      </w:r>
      <w:r>
        <w:rPr>
          <w:rFonts w:ascii="Times New Roman" w:hAnsi="Times New Roman"/>
          <w:b w:val="false"/>
          <w:i w:val="false"/>
          <w:color w:val="000000"/>
          <w:sz w:val="22"/>
        </w:rPr>
        <w:t>In the case of a purchase and assumption, if the bank being acquired is a state bank, appropriate forms and instructions for the voluntary liquidation of the bank may be obtained from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color w:val="000000"/>
          <w:sz w:val="22"/>
        </w:rPr>
        <w:t xml:space="preserve">Examination and investigation. </w:t>
      </w:r>
      <w:r>
        <w:rPr>
          <w:rFonts w:ascii="Times New Roman" w:hAnsi="Times New Roman"/>
          <w:b w:val="false"/>
          <w:i w:val="false"/>
          <w:color w:val="000000"/>
          <w:sz w:val="22"/>
        </w:rPr>
        <w:t>The superintendent may conduct an examination or investigation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superintendent shall approve or deny the application within 90 days after the purchase and assumption application has been accepted for processing and within 180 days after the merger application has been accepted for processing. The decision by the superintendent shall be conveyed in writing to the applicant. If the application is approved, the superintendent shall issue the appropriate authorizations.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524.1401 to 524.1405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4055C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6796C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187—2.4</w:t>
      </w:r>
      <w:r>
        <w:rPr>
          <w:rFonts w:ascii="Times New Roman" w:hAnsi="Times New Roman"/>
          <w:b/>
          <w:i w:val="false"/>
          <w:color w:val="000000"/>
          <w:sz w:val="22"/>
        </w:rPr>
        <w:t xml:space="preserve">(17A,524) </w:t>
      </w:r>
      <w:r>
        <w:rPr>
          <w:rFonts w:ascii="Times New Roman" w:hAnsi="Times New Roman"/>
          <w:b/>
          <w:i w:val="false"/>
          <w:color w:val="000000"/>
          <w:sz w:val="22"/>
        </w:rPr>
        <w:t xml:space="preserve">Establishment of a bank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state-chartered bank desiring to establish and operate a bank office shall submit to the superintendent an “Application to Establish a Bank Office,” which is available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superintendent may conduct an investigation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Guidelines. </w:t>
      </w:r>
      <w:r>
        <w:rPr>
          <w:rFonts w:ascii="Times New Roman" w:hAnsi="Times New Roman"/>
          <w:b w:val="false"/>
          <w:i w:val="false"/>
          <w:color w:val="000000"/>
          <w:sz w:val="22"/>
        </w:rPr>
        <w:t>In determining whether to approve or deny a bank office application for other than a mobile office, a bank-owned courier service, or a convenience office, the superintendent will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convenience and needs of the public and existing customers of the applicant bank will be served by the proposed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population density and other economic characteristics of the area primarily to be served by the proposed office afford reasonable promise of adequate support for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capital structure of the applicant bank is adequate in relation to the costs and anticipated increased business, if any, occasioned by the proposed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history of operation and management of the applicant 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Such other factors as the superintendent may determine are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superintendent shall approve or deny the application within 120 days after the application has been accepted for processing. The decision by the superintendent shall be conveyed in writing to the applicant. If the application is approved, the superintendent shall issue a bank office certificate for the establishment and operation of the bank office to be effective on a specific date and at a designated location.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524.312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524.1201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524.1303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524.1403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187—2.5</w:t>
      </w:r>
      <w:r>
        <w:rPr>
          <w:rFonts w:ascii="Times New Roman" w:hAnsi="Times New Roman"/>
          <w:b/>
          <w:i w:val="false"/>
          <w:color w:val="000000"/>
          <w:sz w:val="22"/>
        </w:rPr>
        <w:t xml:space="preserve">(17A,524) </w:t>
      </w:r>
      <w:r>
        <w:rPr>
          <w:rFonts w:ascii="Times New Roman" w:hAnsi="Times New Roman"/>
          <w:b/>
          <w:i w:val="false"/>
          <w:color w:val="000000"/>
          <w:sz w:val="22"/>
        </w:rPr>
        <w:t xml:space="preserve">Change of location of principal place of business or bank office.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state bank desiring to relocate its principal place of business or a bank office shall submit to the superintendent an “Application to Relocate the Principal Place of Business” or “Application to Relocate a Bank Office,” which are available on the division’s website 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superintendent may conduct an investigation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superintendent shall approve or deny the application within 90 days after the application has been accepted for processing. The decision by the superintendent shall be conveyed in writing to the applicant. If the application is approved, the superintendent shall issue the appropriate authorizations for the conduct of business at the new location.</w:t>
      </w:r>
    </w:p>
    <w:p>
      <w:pPr>
        <w:spacing w:before="0" w:after="0"/>
        <w:ind w:left="120"/>
        <w:jc w:val="both"/>
      </w:pPr>
      <w:r>
        <w:rPr>
          <w:rFonts w:ascii="Times New Roman" w:hAnsi="Times New Roman"/>
          <w:b w:val="false"/>
          <w:i w:val="false"/>
          <w:color w:val="000000"/>
          <w:sz w:val="22"/>
        </w:rPr>
        <w:t>This rule is intended to implement Iowa Code section </w:t>
      </w:r>
      <w:hyperlink r:id="rId13">
        <w:r>
          <w:rPr>
            <w:rStyle w:val="Hyperlink"/>
            <w:rFonts w:ascii="Times New Roman" w:hAnsi="Times New Roman"/>
            <w:b w:val="false"/>
            <w:i w:val="false"/>
            <w:color w:val="000000"/>
            <w:sz w:val="22"/>
          </w:rPr>
          <w:t>524.312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4055C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6796C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187—2.6</w:t>
      </w:r>
      <w:r>
        <w:rPr>
          <w:rFonts w:ascii="Times New Roman" w:hAnsi="Times New Roman"/>
          <w:b/>
          <w:i w:val="false"/>
          <w:color w:val="000000"/>
          <w:sz w:val="22"/>
        </w:rPr>
        <w:t xml:space="preserve">(17A,524) </w:t>
      </w:r>
      <w:r>
        <w:rPr>
          <w:rFonts w:ascii="Times New Roman" w:hAnsi="Times New Roman"/>
          <w:b/>
          <w:i w:val="false"/>
          <w:color w:val="000000"/>
          <w:sz w:val="22"/>
        </w:rPr>
        <w:t xml:space="preserve">Change of control.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by any person to purchase or otherwise acquire, directly or indirectly, outstanding shares of a state bank which would result in control or a change in control shall be submitted in the format requested by the superintendent and shall, at a minimum,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Copy of the agreement between the purchaser and seller for the sale of stock which results in the buyer acquiring a majority interest in the state 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Terms of any bank stock loan including the amount to be borrowed, rate of interest, number of years the loan is to run, collateral pledged to secure the indebtedness and any other pertinent information relating to such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Financial statement of the purchaser and a résumé related to the purchaser’s past experience and affiliations.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 forma statement of the purchaser’s income and expenses during the term of the bank stock loan and a statement from the purchaser indicating which assets will be converted to cash or pledged as security to provide the initial equity.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Projections of statement of condition of the state bank to be purchased during the term of the bank stock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Projections of income and expenses of the state bank to be purchased during the term of the bank stock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plans which the purchaser may have which would represent major changes in the present staff or policies of the state bank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requested by the superintendent, an affidavit signed by the purchaser stating that the majority interest in the state bank is not being acquired for the benefit of another person or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2.6(2)</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superintendent may conduct an investigation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2.6(3)</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superintendent shall approve or deny the application within 90 days after the application has been accepted for processing. The decision by the superintendent shall be conveyed in writing to the applicant. If the application is approved, a certificate of approval, in letter form, will be delivered to the applicant. Upon receipt of such certificate, the applicant may proceed to conclude the purchase transaction, subject to such terms and conditions as the superintendent may impose.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524.544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187—2.7</w:t>
      </w:r>
      <w:r>
        <w:rPr>
          <w:rFonts w:ascii="Times New Roman" w:hAnsi="Times New Roman"/>
          <w:b/>
          <w:i w:val="false"/>
          <w:color w:val="000000"/>
          <w:sz w:val="22"/>
        </w:rPr>
        <w:t xml:space="preserve">(17A,524) </w:t>
      </w:r>
      <w:r>
        <w:rPr>
          <w:rFonts w:ascii="Times New Roman" w:hAnsi="Times New Roman"/>
          <w:b/>
          <w:i w:val="false"/>
          <w:color w:val="000000"/>
          <w:sz w:val="22"/>
        </w:rPr>
        <w:t xml:space="preserve">Renewal, amendment or restatement of articles of incorporation.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Sample forms and instructions for making application to the superintendent to renew, amend or restate existing articles of incorporation of a state bank will be furnished upon request to the superintendent. State banks desiring to effect a reverse stock split or similar change in capital structure by such renewal, amendment, or restatement should contact the superintendent to discuss the proposal prior to its adoption.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2.7(2)</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superintendent may conduct an investigation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w:t>
      </w:r>
      <w:r>
        <w:rPr>
          <w:rFonts w:ascii="Times New Roman" w:hAnsi="Times New Roman"/>
          <w:b w:val="false"/>
          <w:i w:val="false"/>
          <w:color w:val="000000"/>
          <w:sz w:val="22"/>
        </w:rPr>
        <w:t> </w:t>
      </w:r>
      <w:r>
        <w:rPr>
          <w:rFonts w:ascii="Times New Roman" w:hAnsi="Times New Roman"/>
          <w:b w:val="false"/>
          <w:i/>
          <w:color w:val="000000"/>
          <w:sz w:val="22"/>
        </w:rPr>
        <w:t xml:space="preserve">Reverse stock split.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10/10/18</w:t>
      </w:r>
      <w:r>
        <w:rPr>
          <w:rFonts w:ascii="Times New Roman" w:hAnsi="Times New Roman"/>
          <w:b w:val="false"/>
          <w:i w:val="false"/>
          <w:color w:val="000000"/>
          <w:sz w:val="22"/>
        </w:rPr>
        <w:t>, effective 11/14/18.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superintendent shall approve or deny the application within 90 days after the application has been accepted for processing. The decision by the superintendent shall be conveyed in writing to the applicant. If the application is approved, the renewed, amended, or restated articles of incorporation will be approved and forwarded to the secretary of state for filing and recording. Upon filing such articles, the secretary of state will return the original to the state bank and will also issue a certificate to the state bank indicating the date the filing was effective. Thereafter, the state bank will operate in accordance with its renewed, amended, or restated articles of incorporation.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524.314</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524.1505</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524.1508</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524.1509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4055C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6796C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187—2.8</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187—2.9</w:t>
      </w:r>
      <w:r>
        <w:rPr>
          <w:rFonts w:ascii="Times New Roman" w:hAnsi="Times New Roman"/>
          <w:b/>
          <w:i w:val="false"/>
          <w:color w:val="000000"/>
          <w:sz w:val="22"/>
        </w:rPr>
        <w:t xml:space="preserve">(17A) </w:t>
      </w:r>
      <w:r>
        <w:rPr>
          <w:rFonts w:ascii="Times New Roman" w:hAnsi="Times New Roman"/>
          <w:b/>
          <w:i w:val="false"/>
          <w:color w:val="000000"/>
          <w:sz w:val="22"/>
        </w:rPr>
        <w:t xml:space="preserve">Licensing of a debt management company. </w:t>
      </w:r>
      <w:r>
        <w:rPr>
          <w:rFonts w:ascii="Times New Roman" w:hAnsi="Times New Roman"/>
          <w:b w:val="false"/>
          <w:i w:val="false"/>
          <w:color w:val="000000"/>
          <w:sz w:val="22"/>
        </w:rPr>
        <w:t xml:space="preserve">Rescinded </w:t>
      </w:r>
      <w:r>
        <w:rPr>
          <w:rFonts w:ascii="Times New Roman" w:hAnsi="Times New Roman"/>
          <w:b/>
          <w:i w:val="false"/>
          <w:color w:val="000000"/>
          <w:sz w:val="22"/>
        </w:rPr>
        <w:t>ARC 4055C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10/10/18</w:t>
      </w:r>
      <w:r>
        <w:rPr>
          <w:rFonts w:ascii="Times New Roman" w:hAnsi="Times New Roman"/>
          <w:b w:val="false"/>
          <w:i w:val="false"/>
          <w:color w:val="000000"/>
          <w:sz w:val="22"/>
        </w:rPr>
        <w:t xml:space="preserve">, effective 11/14/18. </w:t>
      </w:r>
    </w:p>
    <w:p>
      <w:pPr>
        <w:spacing w:before="210" w:after="0"/>
        <w:ind w:left="120"/>
        <w:jc w:val="both"/>
      </w:pPr>
      <w:r>
        <w:rPr>
          <w:rFonts w:ascii="Times New Roman" w:hAnsi="Times New Roman"/>
          <w:b/>
          <w:i w:val="false"/>
          <w:color w:val="000000"/>
          <w:sz w:val="22"/>
        </w:rPr>
        <w:t>187—2.10</w:t>
      </w:r>
      <w:r>
        <w:rPr>
          <w:rFonts w:ascii="Times New Roman" w:hAnsi="Times New Roman"/>
          <w:b w:val="false"/>
          <w:i w:val="false"/>
          <w:color w:val="000000"/>
          <w:sz w:val="22"/>
        </w:rPr>
        <w:t xml:space="preserve"> and </w:t>
      </w:r>
      <w:r>
        <w:rPr>
          <w:rFonts w:ascii="Times New Roman" w:hAnsi="Times New Roman"/>
          <w:b/>
          <w:i w:val="false"/>
          <w:color w:val="000000"/>
          <w:sz w:val="22"/>
        </w:rPr>
        <w:t>2.11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187—2.12</w:t>
      </w:r>
      <w:r>
        <w:rPr>
          <w:rFonts w:ascii="Times New Roman" w:hAnsi="Times New Roman"/>
          <w:b/>
          <w:i w:val="false"/>
          <w:color w:val="000000"/>
          <w:sz w:val="22"/>
        </w:rPr>
        <w:t xml:space="preserve">(17A,524) </w:t>
      </w:r>
      <w:r>
        <w:rPr>
          <w:rFonts w:ascii="Times New Roman" w:hAnsi="Times New Roman"/>
          <w:b/>
          <w:i w:val="false"/>
          <w:color w:val="000000"/>
          <w:sz w:val="22"/>
        </w:rPr>
        <w:t xml:space="preserve">Supplemental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rule contains procedures by which the superintendent may reach informed decisions with respect to those applications for which the superintendent shall deem a public hearing necessary. These procedures provide a method by which all persons interested in the subject matter of such applications or other cases in which a public hearing is deemed necessary may present their views. Nothing contained herein shall be construed to prevent interested persons from presenting their views in a more informal manner when deemed appropriate by the superintendent or to prevent the superintendent from conducting such other investigation as may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Public file. </w:t>
      </w:r>
      <w:r>
        <w:rPr>
          <w:rFonts w:ascii="Times New Roman" w:hAnsi="Times New Roman"/>
          <w:b w:val="false"/>
          <w:i w:val="false"/>
          <w:color w:val="000000"/>
          <w:sz w:val="22"/>
        </w:rPr>
        <w:t xml:space="preserve">The public file in each case shall consist of the application with supporting data and supplementary information with the exception of material deemed by the superintendent to be confidential. In addition, the public file shall contain all data and information submitted by interested persons in favor of or in opposition to such application, excluding any material deemed by the superintendent to be confidential. The superintendent or the superintendent’s designee shall not deem information confidential for purposes of the two immediately preceding sentences unless the person submitting the information requests that such information be deemed confidential. All factual information contained in any internal investigation report made by a bank examiner shall also be made a part of the public file, unless deemed confidential by the superintendent. The person submitting the application may not request that the entire application be deemed confidential.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file shall be available for inspection in the office of the superintendent upon request from a protesting person and to such other persons as the superintendent shall deem to have a direct interest therein during such periods of time as the superintendent shall prescribe.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documentation in the public file may be removed from the superintendent’s office by persons other than members of the superintendent’s staff. Photocopies may be made available, on request, to protesting and other interested parties. The charge for such copies shall be made in accordance with a written schedule maintained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2.12(3)</w:t>
      </w:r>
      <w:r>
        <w:rPr>
          <w:rFonts w:ascii="Times New Roman" w:hAnsi="Times New Roman"/>
          <w:b w:val="false"/>
          <w:i w:val="false"/>
          <w:color w:val="000000"/>
          <w:sz w:val="22"/>
        </w:rPr>
        <w:t> </w:t>
      </w:r>
      <w:r>
        <w:rPr>
          <w:rFonts w:ascii="Times New Roman" w:hAnsi="Times New Roman"/>
          <w:b w:val="false"/>
          <w:i/>
          <w:color w:val="000000"/>
          <w:sz w:val="22"/>
        </w:rPr>
        <w:t xml:space="preserve">Place of hearing. </w:t>
      </w:r>
      <w:r>
        <w:rPr>
          <w:rFonts w:ascii="Times New Roman" w:hAnsi="Times New Roman"/>
          <w:b w:val="false"/>
          <w:i w:val="false"/>
          <w:color w:val="000000"/>
          <w:sz w:val="22"/>
        </w:rPr>
        <w:t>Hearings granted by the superintendent shall be heard in the office of the superintendent. The superintendent, in any matter, reserves the right to conduct hearings at any location deemed to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2.12(4)</w:t>
      </w:r>
      <w:r>
        <w:rPr>
          <w:rFonts w:ascii="Times New Roman" w:hAnsi="Times New Roman"/>
          <w:b w:val="false"/>
          <w:i w:val="false"/>
          <w:color w:val="000000"/>
          <w:sz w:val="22"/>
        </w:rPr>
        <w:t> </w:t>
      </w:r>
      <w:r>
        <w:rPr>
          <w:rFonts w:ascii="Times New Roman" w:hAnsi="Times New Roman"/>
          <w:b w:val="false"/>
          <w:i/>
          <w:color w:val="000000"/>
          <w:sz w:val="22"/>
        </w:rPr>
        <w:t xml:space="preserve">Date of hearing. </w:t>
      </w:r>
      <w:r>
        <w:rPr>
          <w:rFonts w:ascii="Times New Roman" w:hAnsi="Times New Roman"/>
          <w:b w:val="false"/>
          <w:i w:val="false"/>
          <w:color w:val="000000"/>
          <w:sz w:val="22"/>
        </w:rPr>
        <w:t>An opportunity to be heard shall be given as soon as practicable after ordered.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2.12(5)</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The notice given by the superintendent concerning the hearing shall set forth the subject matter of the application, the legal authority for such hearing, and the date, time, and place of the hearing. The notice shall be sent to the person or persons requesting the hearing, to the applicant and to other interested persons who have sent written comments to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2.12(6)</w:t>
      </w:r>
      <w:r>
        <w:rPr>
          <w:rFonts w:ascii="Times New Roman" w:hAnsi="Times New Roman"/>
          <w:b w:val="false"/>
          <w:i w:val="false"/>
          <w:color w:val="000000"/>
          <w:sz w:val="22"/>
        </w:rPr>
        <w:t> </w:t>
      </w:r>
      <w:r>
        <w:rPr>
          <w:rFonts w:ascii="Times New Roman" w:hAnsi="Times New Roman"/>
          <w:b w:val="false"/>
          <w:i/>
          <w:color w:val="000000"/>
          <w:sz w:val="22"/>
        </w:rPr>
        <w:t xml:space="preserve">Attendance at hearing. </w:t>
      </w:r>
      <w:r>
        <w:rPr>
          <w:rFonts w:ascii="Times New Roman" w:hAnsi="Times New Roman"/>
          <w:b w:val="false"/>
          <w:i w:val="false"/>
          <w:color w:val="000000"/>
          <w:sz w:val="22"/>
        </w:rPr>
        <w:t>Each person who wishes to be heard shall notify the superintendent within five days after the date of the notice described in subrule 2.12(5) of the person’s intention to attend and shall submit the number and names of witnesses to be presented.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2.12(7)</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presiding officer at the hearing shall be the superintendent or such other person as may be designated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2.12(8)</w:t>
      </w:r>
      <w:r>
        <w:rPr>
          <w:rFonts w:ascii="Times New Roman" w:hAnsi="Times New Roman"/>
          <w:b w:val="false"/>
          <w:i w:val="false"/>
          <w:color w:val="000000"/>
          <w:sz w:val="22"/>
        </w:rPr>
        <w:t> </w:t>
      </w:r>
      <w:r>
        <w:rPr>
          <w:rFonts w:ascii="Times New Roman" w:hAnsi="Times New Roman"/>
          <w:b w:val="false"/>
          <w:i/>
          <w:color w:val="000000"/>
          <w:sz w:val="22"/>
        </w:rPr>
        <w:t xml:space="preserve">Hearing rules. </w:t>
      </w:r>
      <w:r>
        <w:rPr>
          <w:rFonts w:ascii="Times New Roman" w:hAnsi="Times New Roman"/>
          <w:b w:val="false"/>
          <w:i w:val="false"/>
          <w:color w:val="000000"/>
          <w:sz w:val="22"/>
        </w:rPr>
        <w:t>The applicant and each participant may make opening statements of a length within the discretion of the presiding officer. Such opening statements should concisely state what the participant intends to show. The applicant shall have the opportunity to present a statement first. Following the opening statements, the applicant shall present data and materials, oral or documentary. Following the applicant’s presentation, the persons protesting the application shall present their data and materials, oral or documentary. The protesters may agree, with the approval of the presiding officer, to have one of their number make their presentation. Following the evidence of the applicant and the protester, the presiding officer may recognize other interested persons who may present their views with respect to the application under consideration. After all the above presentations have been concluded, the participants before the panel may make short and concise summary statements reviewing their positions. The applicant shall present a concluding summary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obtaining and use of witnesses is the responsibility of the parties. All witnesses will be present on their own volition, but any person appearing as a witness may be subject to questioning by any participant. The refusal of a witness to answer questions may be considered by the superintendent in determining the weight to be accorded the testimony of that witness. Witnesses shall be sworn.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exclude data or materials deemed to be improper or irrelevant. Formal rules of evidence shall not be applicable to these hearings. Documentary material must be of a size consistent with ease of handling, transportation and filing, and copies must be provided for each participant. While large exhibits may be used during the hearing, copies of such exhibits must be provided by the party in reduced size for submission as evidence. Two copies of all such documentary evidence shall be furnished to the superintendent, and one copy shall be furnished to each other person represented at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superintendent or the superintendent’s designee shall determine all procedural questions not governed by these rules. The superintendent or the superintendent’s designee shall have the authority to limit the number of witnesses to be used by any party, and to impose such time limitations as shall be deemed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transcript of each proceeding shall be arranged for by the person or persons requesting the opportunity to be heard, with all expenses of such service, including the furnishing of one copy of the transcript to the superintendent, being borne by the person or persons requesting the opportunity to be heard, except for hearings ordered by the superintendent’s office on its own volition, in which case the applicant will bear the expense of furnishing transcripts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public file described in subrule 2.12(2) shall automatically be deemed a part of the record of these proceedings, as well as all evidence submitted and the transcript described in paragraph 2.12(8)</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2.12(9)</w:t>
      </w:r>
      <w:r>
        <w:rPr>
          <w:rFonts w:ascii="Times New Roman" w:hAnsi="Times New Roman"/>
          <w:b w:val="false"/>
          <w:i w:val="false"/>
          <w:color w:val="000000"/>
          <w:sz w:val="22"/>
        </w:rPr>
        <w:t> </w:t>
      </w:r>
      <w:r>
        <w:rPr>
          <w:rFonts w:ascii="Times New Roman" w:hAnsi="Times New Roman"/>
          <w:b w:val="false"/>
          <w:i/>
          <w:color w:val="000000"/>
          <w:sz w:val="22"/>
        </w:rPr>
        <w:t xml:space="preserve">Closing of the public file. </w:t>
      </w:r>
      <w:r>
        <w:rPr>
          <w:rFonts w:ascii="Times New Roman" w:hAnsi="Times New Roman"/>
          <w:b w:val="false"/>
          <w:i w:val="false"/>
          <w:color w:val="000000"/>
          <w:sz w:val="22"/>
        </w:rPr>
        <w:t>If requested by any participant, the public file shall remain open for five days following receipt of the transcript by the superintendent, during which time the applicant and protesters may submit additional written statements. A copy of any statement so submitted during this period of time shall also be sent simultaneously to the other persons represented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2.12(10)</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applicant and all persons so requesting in writing shall be notified of the final disposition of the application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2.12(11)</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time. </w:t>
      </w:r>
      <w:r>
        <w:rPr>
          <w:rFonts w:ascii="Times New Roman" w:hAnsi="Times New Roman"/>
          <w:b w:val="false"/>
          <w:i w:val="false"/>
          <w:color w:val="000000"/>
          <w:sz w:val="22"/>
        </w:rPr>
        <w:t>In computing any period of days provided for in this rule, the day of the event from which the period begins to run shall not be included. The last day of the period so computed shall be included, unless it is a Saturday, a Sunday, or a legal holiday, in which event the period runs until the end of the next day which is not a Saturday, a Sunday, or a legal holiday. As used in this subrule, “legal holiday” means a day on which the office of the superintendent remains closed.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524.305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524.312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524.1201</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524.1303</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524.1403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4055C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187—2.13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187—2.14</w:t>
      </w:r>
      <w:r>
        <w:rPr>
          <w:rFonts w:ascii="Times New Roman" w:hAnsi="Times New Roman"/>
          <w:b/>
          <w:i w:val="false"/>
          <w:color w:val="000000"/>
          <w:sz w:val="22"/>
        </w:rPr>
        <w:t xml:space="preserve">(524) </w:t>
      </w:r>
      <w:r>
        <w:rPr>
          <w:rFonts w:ascii="Times New Roman" w:hAnsi="Times New Roman"/>
          <w:b/>
          <w:i w:val="false"/>
          <w:color w:val="000000"/>
          <w:sz w:val="22"/>
        </w:rPr>
        <w:t xml:space="preserve">Investment in a bank service corporation or other subsidiary.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by a state bank to invest in a bank service corporation or other subsidiary for purposes of engaging in an authorized activity shall be in letter form and shall, at a minimum,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proposed authorized activity of the bank service corporation or other subsidiary.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location(s) where the bank service corporation or other subsidiary proposes to conduct its authorized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that the bank service corporation or other subsidiary: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be adequately capitalized in relation to the risks associated with the proposed authorized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Will have sufficient managerial resources to perform the proposed authorized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Will obtain all licenses and approvals from other regulatory agencies necessary to perform the proposed authorized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Will maintain a separate and adequate accounting system and other corporate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Will conduct its authorized activity pursuant to independent policies and procedures designed to inform customers and prospective customers of the bank service corporation or other subsidiary that it is a separate organization from the state 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legal opinion that the proposed authorized activity of the bank service corporation or other subsidiary is permissible under state and federal laws and regulations, if requested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which the state bank proposes to initially invest in the bank service corporation or other subsidiary.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resolution adopted by the state bank’s board of directors authorizing the investment in the bank service corporation or other subsidiary.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Investment limitation. </w:t>
      </w:r>
      <w:r>
        <w:rPr>
          <w:rFonts w:ascii="Times New Roman" w:hAnsi="Times New Roman"/>
          <w:b w:val="false"/>
          <w:i w:val="false"/>
          <w:color w:val="000000"/>
          <w:sz w:val="22"/>
        </w:rPr>
        <w:t xml:space="preserve">Unless state or federal statutes impose specific limitations relating to investments in the shares of a corporation by a state bank, a state bank’s investment in a bank service corporation or other subsidiary shall not exceed 15 percent of its aggregate capital as defined in Iowa Code section </w:t>
      </w:r>
      <w:hyperlink r:id="rId25">
        <w:r>
          <w:rPr>
            <w:rStyle w:val="Hyperlink"/>
            <w:rFonts w:ascii="Times New Roman" w:hAnsi="Times New Roman"/>
            <w:b w:val="false"/>
            <w:i w:val="false"/>
            <w:color w:val="000000"/>
            <w:sz w:val="22"/>
          </w:rPr>
          <w:t>524.103</w:t>
        </w:r>
      </w:hyperlink>
      <w:r>
        <w:rPr>
          <w:rFonts w:ascii="Times New Roman" w:hAnsi="Times New Roman"/>
          <w:b w:val="false"/>
          <w:i w:val="false"/>
          <w:color w:val="000000"/>
          <w:sz w:val="22"/>
        </w:rPr>
        <w:t xml:space="preserve">, nor shall more than 5 percent of its total assets be invested in all bank service corporations or subsidiaries. At the superintendent’s discretion, a higher investment limitation may be established for an investment by a state bank in an operations subsidiary, as defined in section </w:t>
      </w:r>
      <w:hyperlink r:id="rId26">
        <w:r>
          <w:rPr>
            <w:rStyle w:val="Hyperlink"/>
            <w:rFonts w:ascii="Times New Roman" w:hAnsi="Times New Roman"/>
            <w:b w:val="false"/>
            <w:i w:val="false"/>
            <w:color w:val="000000"/>
            <w:sz w:val="22"/>
          </w:rPr>
          <w:t>524.103</w:t>
        </w:r>
      </w:hyperlink>
      <w:r>
        <w:rPr>
          <w:rFonts w:ascii="Times New Roman" w:hAnsi="Times New Roman"/>
          <w:b w:val="false"/>
          <w:i w:val="false"/>
          <w:color w:val="000000"/>
          <w:sz w:val="22"/>
        </w:rPr>
        <w:t>. For purposes of this rule, the terms “invest” or “investment” shall include any advance of funds to a bank service corporation or other subsidiary, whether by the purchase of stock, the making of a loan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superintendent may conduct an investigation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superintendent shall approve or deny the application within 60 days after the application is accepted for processing. The decision by the superintendent shall be conveyed in writing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The superintendent may revoke a previously granted approval to invest in a bank service corporation or another subsidiary and order divestiture of the shares, pursuant to the contested case provisions of Iowa Code chapter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if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financial condition of the state bank has significantly deteriorated.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superintendent determines the authorized activity is being conducted unlawfully or in an unsafe or unsound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relevant factors occur which the superintendent may determine are grounds for a revocation of the authorized activity.</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8">
        <w:r>
          <w:rPr>
            <w:rStyle w:val="Hyperlink"/>
            <w:rFonts w:ascii="Times New Roman" w:hAnsi="Times New Roman"/>
            <w:b w:val="false"/>
            <w:i w:val="false"/>
            <w:color w:val="000000"/>
            <w:sz w:val="22"/>
          </w:rPr>
          <w:t>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187—2.15</w:t>
      </w:r>
      <w:r>
        <w:rPr>
          <w:rFonts w:ascii="Times New Roman" w:hAnsi="Times New Roman"/>
          <w:b/>
          <w:i w:val="false"/>
          <w:color w:val="000000"/>
          <w:sz w:val="22"/>
        </w:rPr>
        <w:t xml:space="preserve">(524) </w:t>
      </w:r>
      <w:r>
        <w:rPr>
          <w:rFonts w:ascii="Times New Roman" w:hAnsi="Times New Roman"/>
          <w:b/>
          <w:i w:val="false"/>
          <w:color w:val="000000"/>
          <w:sz w:val="22"/>
        </w:rPr>
        <w:t xml:space="preserve">Securities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Iowa law authorizes state-chartered banks to engage in any aspect of the securities business. The evolution of this authority by state banks has been confined primarily to recommending and selling interests in mutual funds, annuities, and other nondeposit investment products on bank premises. The sale of these nondeposit investment products on bank premises may be conducted directly by a state bank, through a subsidiary or an affiliate of a state bank, or through an arrangement with a third-party vendor. The sale of these retail products on the premises of a state bank, where traditionally only federally insured deposits are taken, has led to some confusion among retail customers about what is being purchased and whether or not it is insured. The purpose of this rule is to place greater emphasis on board of director involvement in any proposed securities activities on the premises of the state bank and, if retail product sales are part of that proposed activity, enhance customer protections through proper disclosures.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Board responsibilities. </w:t>
      </w:r>
      <w:r>
        <w:rPr>
          <w:rFonts w:ascii="Times New Roman" w:hAnsi="Times New Roman"/>
          <w:b w:val="false"/>
          <w:i w:val="false"/>
          <w:color w:val="000000"/>
          <w:sz w:val="22"/>
        </w:rPr>
        <w:t>The board of directors of a state bank shall evaluate the risks associated with the securities activities proposed and the method by which the securities activities will be conducted on its premises. The board of directors shall be responsible for ensuring that any securities activities conducted on its premises will comply with all applicable state and federal laws and regulations as well as any policy statements issued which relate to securities activities. Specifically, if a state bank develops and implements a particular program where nondeposit investment products are recommended and sold to retail customers, that program shall ensure that customers are clearly and fully informed of the nature of and risks associated with those types of products. If an affiliate, a subsidiary, or a third-party vendor is used to recommend and sell nondeposit investment products, all signs, advertisements and other promotional material should clearly identify the affiliate, subsidiary, or third-party vendor as the seller and should not suggest by use of a trade name that the state bank is the seller. The board of directors shall be responsible for complying with the joint federal Interagency Statement on Retail Sales of Nondeposit Investment Products or any substitution therefor or revision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by a state bank to engage in any securities activities shall be in letter form and shall, at a minimum,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commitment that the proposed securities activities will be conducted either directly by the state bank, through a subsidiary or an affiliate of the state bank, or through an arrangement with a third-party vendor. In specific cases, it may be necessary for the applicant to provide a legal opinion stating that the proposed activities are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commitment that the state bank’s board of directors has evaluated the risks associated with the proposed securities activities and has adopted a written statement that addresses these risks and the procedures to be used to ensure compliance with all applicable laws, regulations and policy statements. The scope and level of detail of the written statement should reflect the state bank’s level of involvement in the securities activities. If securities activities are to be conducted on bank premises by an affiliate, a subsidiary, or a third-party vendor, the written statement should also address the scope of those activities, as well as the procedures for monitoring compliance by the affiliate, subsidiary, or third-party vendor with all applicable laws, regulations and policy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commitment that, if securities activities are to be conducted through an affiliate, a subsidiary, or a third-party vendor, the board of directors has performed an appropriate review of the affiliate, subsidiary, or third-party vendor. A copy of the written agreement between the parties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commitment that the location(s) on bank premises where the proposed securities activities will be conducted will be physically distinct and separate from the area where deposits are taken. Proper signs or other means must be used to distinguish the area where the sale of retail nondeposit investments products will be conducted from the area where insured deposits are normally taken. If securities activities are to be conducted on bank premises by an affiliate, a subsidiary, or a third-party vendor, all signs or other means used to identify this area shall provide to the retail customer a clear and accurate representation of the entity conducting the securities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commitment that clear and concise oral and written disclosures will be provided to retail customers. A copy of the proposed written disclosures shall accompany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commitment that the state bank, its subsidiary or affiliate, or a third-party vendor will complete background checks on all personnel authorized to recommend and sell nondeposit investment products and that all such personnel will be properly trained and appropriately licensed prior to commencing any securities activities and thereafter while conducting securities activities on the premises of the state bank.</w:t>
      </w:r>
    </w:p>
    <w:p>
      <w:pPr>
        <w:spacing w:before="0" w:after="0"/>
        <w:ind w:left="120"/>
        <w:jc w:val="both"/>
      </w:pPr>
      <w:r>
        <w:rPr>
          <w:rFonts w:ascii="Times New Roman" w:hAnsi="Times New Roman"/>
          <w:b w:val="false"/>
          <w:i w:val="false"/>
          <w:color w:val="000000"/>
          <w:sz w:val="22"/>
        </w:rPr>
        <w:t>Notwithstanding the application requirements set forth herein, if the securities activity being conducted is limited to discount brokerage or referral services, then the state bank only needs to notify the superintendent that it intends to engage in the limited securities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superintendent may conduct an investigation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superintendent shall approve or deny the application within 60 days after the application is accepted for processing. The decision by the superintendent shall be conveyed in writing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The superintendent may revoke a previously granted approval to conduct securities activities on the premises of the state bank, pursuant to the contested case provisions of Iowa Code chapter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if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financial condition of the state bank has significantly deteriorated.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superintendent determines the securities activities are being conducted unlawfully or in a unsafe or unsound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relevant factors occur which the superintendent may determine are grounds for a revocation of the securities activities.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524.825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187—2.16</w:t>
      </w:r>
      <w:r>
        <w:rPr>
          <w:rFonts w:ascii="Times New Roman" w:hAnsi="Times New Roman"/>
          <w:b/>
          <w:i w:val="false"/>
          <w:color w:val="000000"/>
          <w:sz w:val="22"/>
        </w:rPr>
        <w:t xml:space="preserve">(524) </w:t>
      </w:r>
      <w:r>
        <w:rPr>
          <w:rFonts w:ascii="Times New Roman" w:hAnsi="Times New Roman"/>
          <w:b/>
          <w:i w:val="false"/>
          <w:color w:val="000000"/>
          <w:sz w:val="22"/>
        </w:rPr>
        <w:t xml:space="preserve">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Futures contracts shall be defined as standardized contracts traded on and guaranteed by organized exchanges to purchase or sell a specified security or a bank certificate of deposit on a future date at a specified price. Forward contracts shall be defined as over-the-counter contracts for forward placement or delayed delivery of securities in which one party agrees to purchase and another to sell a specified security at a specified price for future delivery. Contracts specifying settlement in excess of 30 days following the trade date shall be deemed to be forward contracts. Standby contracts shall be defined as optional forward contracts. For an example, the buyer of a standby contract (put option) pays a fee for the right or option to sell securities to the other party at a stated price at a future time. The seller of a standby contract receives the fee and must stand ready to buy the securities at the other party’s option.</w:t>
      </w:r>
    </w:p>
    <w:p>
      <w:pPr>
        <w:spacing w:before="0" w:after="0"/>
        <w:ind w:left="120"/>
        <w:jc w:val="both"/>
      </w:pPr>
      <w:r>
        <w:rPr>
          <w:rFonts w:ascii="Times New Roman" w:hAnsi="Times New Roman"/>
          <w:b w:val="false"/>
          <w:i w:val="false"/>
          <w:color w:val="000000"/>
          <w:sz w:val="22"/>
        </w:rPr>
        <w:t>Futures contracts, forward contracts and standby contracts may be used by the state banks to reduce their existing interest rate risk exposure resulting from their overall investment activities and as a general hedge against interest rate exposure associated with undesired mismatches in interest-sensitive assets and liabilities. At no time shall futures, forward and standby contracts be used to speculate on future interest rate movements.</w:t>
      </w:r>
    </w:p>
    <w:p>
      <w:pPr>
        <w:spacing w:before="0" w:after="0"/>
        <w:ind w:left="120"/>
        <w:jc w:val="both"/>
      </w:pPr>
      <w:r>
        <w:rPr>
          <w:rFonts w:ascii="Times New Roman" w:hAnsi="Times New Roman"/>
          <w:b w:val="false"/>
          <w:i w:val="false"/>
          <w:color w:val="000000"/>
          <w:sz w:val="22"/>
        </w:rPr>
        <w:t>State banks may, without the prior approval of the superintendent, purchase shares in permissible investment companies, up to a maximum of 15 percent of aggregate capital, which use futures contracts, forward contracts and standby contracts, as well as repurchase agreements and securities lending arrangements as a part of their portfolio management strategies. However, it remains the responsibility of the board of directors making these purchases to ensure that a particular investment company is a proper holding for the bank’s investment portfolio.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by a state bank to engage in futures contracts, forward contracts and standby contracts shall be in letter form and shall, at a minimum,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type(s) of contracts the state bank proposes to purchase and sell.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board of directors’ resolution authorizing the specific type(s) of contracts proposed to be purchased and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policy adopted by the state bank’s board of directors which shall include specific policy objectives that outline permissible contract strategies and their relationship to overall investment activities and asset-liability management; the names, responsibilities, and authority limits of the personnel authorized to engage in futures, forward and standby contracts; limitations applicable to futures, forward and standby contract positions; the personnel to be used to review at least monthly the bank’s contract positions to ascertain compliance with such limits; the exchanges and firms through which authorized personnel may conduct futures, forward and standby contracts; and the dollar limit on transactions with each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representation that the state bank has sufficient managerial resources to engage in futures, forward and standby contracts.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superintendent may conduct an investigation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superintendent shall approve or deny the application within 60 days after the application is accepted for processing. The decision by the superintendent shall be conveyed in writing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The superintendent may revoke the approval of the state bank to engage in futures, forward and standby contracts, pursuant to the contested case provisions of Iowa Code chapter </w:t>
      </w:r>
      <w:hyperlink r:id="rId3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if any of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financial condition of the state bank has significantly deteriorated.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superintendent determines the futures, forward or standby contract activities are being conducted unlawfully or in an unsafe or unsound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relevant factors occur which the superintendent may determine are grounds for a revocation of the activities.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524.901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4055C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187—2.17</w:t>
      </w:r>
      <w:r>
        <w:rPr>
          <w:rFonts w:ascii="Times New Roman" w:hAnsi="Times New Roman"/>
          <w:b/>
          <w:i w:val="false"/>
          <w:color w:val="000000"/>
          <w:sz w:val="22"/>
        </w:rPr>
        <w:t xml:space="preserve">(17A,524) </w:t>
      </w:r>
      <w:r>
        <w:rPr>
          <w:rFonts w:ascii="Times New Roman" w:hAnsi="Times New Roman"/>
          <w:b/>
          <w:i w:val="false"/>
          <w:color w:val="000000"/>
          <w:sz w:val="22"/>
        </w:rPr>
        <w:t xml:space="preserve">Mobile offices, courier services, and convenience offices.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“Bank-owned courier service” </w:t>
      </w:r>
      <w:r>
        <w:rPr>
          <w:rFonts w:ascii="Times New Roman" w:hAnsi="Times New Roman"/>
          <w:b w:val="false"/>
          <w:i w:val="false"/>
          <w:color w:val="000000"/>
          <w:sz w:val="22"/>
        </w:rPr>
        <w:t>means a service that has the sole purpose of serving specific customers with pick-up or delivery services for banking activities such as deposits, withdrawals, and loan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“Convenience office” </w:t>
      </w:r>
      <w:r>
        <w:rPr>
          <w:rFonts w:ascii="Times New Roman" w:hAnsi="Times New Roman"/>
          <w:b w:val="false"/>
          <w:i w:val="false"/>
          <w:color w:val="000000"/>
          <w:sz w:val="22"/>
        </w:rPr>
        <w:t>means a bank office at a fixed site that is open only at certain times or dates, such as at a nursing home, college orientation, or fair. The sole purpose of a convenience office is to serve the convenience of the bank’s customers at specified special events or who may have limited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office” </w:t>
      </w:r>
      <w:r>
        <w:rPr>
          <w:rFonts w:ascii="Times New Roman" w:hAnsi="Times New Roman"/>
          <w:b w:val="false"/>
          <w:i w:val="false"/>
          <w:color w:val="000000"/>
          <w:sz w:val="22"/>
        </w:rPr>
        <w:t>means a bank office that does not have a permanent site and functions out of a mobile banking unit that stops at predetermined locations to conduct banking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color w:val="000000"/>
          <w:sz w:val="22"/>
        </w:rPr>
        <w:t xml:space="preserve">Policy. </w:t>
      </w:r>
      <w:r>
        <w:rPr>
          <w:rFonts w:ascii="Times New Roman" w:hAnsi="Times New Roman"/>
          <w:b w:val="false"/>
          <w:i w:val="false"/>
          <w:color w:val="000000"/>
          <w:sz w:val="22"/>
        </w:rPr>
        <w:t>The board of directors of a state bank that operates a mobile office, bank-owned courier service, or convenience office shall adopt a policy governing operation of the mobile office, bank-owned courier service or convenience office. The policy shall be appropriate for the nature and scope of the state bank’s use of the mobile office, bank-owned courier service, or convenience office and shall, at a minimum,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policy shall address the steps the bank will take to protect the security of the office, its customers, employees, its customers’ financial information and deposits. The security plan may include implementation of customer and employee security systems such as security cameras, external lighting, and internal or attached protection zones.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policy shall require the bank to maintain deposit insurance coverage for the mobile office, bank-owned courier service, or convenience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policy shall require the bank to main adequate insurance coverage covering the bank in case of robbery, accident, other loss of items, delay in the delivery of items to other destinations, and other liabilities associated with operating the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policy shall address types of activities the bank will conduct from the mobile office, bank-owned courier service, or convenience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policy shall require a bank office manager or officer of the bank to be physically present at the mobile office, bank-owned courier service, or convenience office during a majority of its business hours as required by Iowa Code section </w:t>
      </w:r>
      <w:hyperlink r:id="rId33">
        <w:r>
          <w:rPr>
            <w:rStyle w:val="Hyperlink"/>
            <w:rFonts w:ascii="Times New Roman" w:hAnsi="Times New Roman"/>
            <w:b w:val="false"/>
            <w:i w:val="false"/>
            <w:color w:val="000000"/>
            <w:sz w:val="22"/>
          </w:rPr>
          <w:t>524.1201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policy shall require the bank to maintain a daily log of operations including descriptions of the time and locations of each stop made by the mobile office or bank-owned courier service, the locations and the hours a convenience office was operated and the names of the bank personnel working at the mobile office, bank-owned courier service, or convenience office during those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policy shall address what, if any, signage the bank will place on the mobile office, bank-owned courier service, or convenience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mobile offices and bank-owned courier services, the policy shall address how the bank will determine the locations at which it will provide services and the times it will be at those locations. The policy shall address how the bank will ensure that the mobile office, bank-owned courier service, or convenience office is located in a safe location and that it has the necessary permission of the owner of the property where the mobile office, bank-owned courier service, or convenience office is located to operate at that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color w:val="000000"/>
          <w:sz w:val="22"/>
        </w:rPr>
        <w:t xml:space="preserve">Publication requirements.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10/10/18</w:t>
      </w:r>
      <w:r>
        <w:rPr>
          <w:rFonts w:ascii="Times New Roman" w:hAnsi="Times New Roman"/>
          <w:b w:val="false"/>
          <w:i w:val="false"/>
          <w:color w:val="000000"/>
          <w:sz w:val="22"/>
        </w:rPr>
        <w:t>, effective 11/14/18.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w:t>
      </w:r>
      <w:r>
        <w:rPr>
          <w:rFonts w:ascii="Times New Roman" w:hAnsi="Times New Roman"/>
          <w:b w:val="false"/>
          <w:i w:val="false"/>
          <w:color w:val="000000"/>
          <w:sz w:val="22"/>
        </w:rPr>
        <w:t> </w:t>
      </w:r>
      <w:r>
        <w:rPr>
          <w:rFonts w:ascii="Times New Roman" w:hAnsi="Times New Roman"/>
          <w:b w:val="false"/>
          <w:i/>
          <w:color w:val="000000"/>
          <w:sz w:val="22"/>
        </w:rPr>
        <w:t xml:space="preserve">Necessary federal approval. </w:t>
      </w:r>
      <w:r>
        <w:rPr>
          <w:rFonts w:ascii="Times New Roman" w:hAnsi="Times New Roman"/>
          <w:b w:val="false"/>
          <w:i w:val="false"/>
          <w:color w:val="000000"/>
          <w:sz w:val="22"/>
        </w:rPr>
        <w:t>If the bank must receive approval from any federal agency, such as the Federal Deposit Insurance Corporation (FDIC), prior to operating a mobile office, bank-owned courier service, or convenience office, such federal approval will be a condition of approval by the superintendent of banking of the application to operate a mobile office, bank-owned courier service, or convenience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w:t>
      </w:r>
      <w:r>
        <w:rPr>
          <w:rFonts w:ascii="Times New Roman" w:hAnsi="Times New Roman"/>
          <w:b w:val="false"/>
          <w:i w:val="false"/>
          <w:color w:val="000000"/>
          <w:sz w:val="22"/>
        </w:rPr>
        <w:t> </w:t>
      </w:r>
      <w:r>
        <w:rPr>
          <w:rFonts w:ascii="Times New Roman" w:hAnsi="Times New Roman"/>
          <w:b w:val="false"/>
          <w:i/>
          <w:color w:val="000000"/>
          <w:sz w:val="22"/>
        </w:rPr>
        <w:t xml:space="preserve">Interstate banking. </w:t>
      </w:r>
      <w:r>
        <w:rPr>
          <w:rFonts w:ascii="Times New Roman" w:hAnsi="Times New Roman"/>
          <w:b w:val="false"/>
          <w:i w:val="false"/>
          <w:color w:val="000000"/>
          <w:sz w:val="22"/>
        </w:rPr>
        <w:t>A mobile office or bank-owned courier service shall not operate in another state unless it has obtained any required permissions from the other state and the appropriate federal regulator.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524.1201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4055C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187—2.18</w:t>
      </w:r>
      <w:r>
        <w:rPr>
          <w:rFonts w:ascii="Times New Roman" w:hAnsi="Times New Roman"/>
          <w:b/>
          <w:i w:val="false"/>
          <w:color w:val="000000"/>
          <w:sz w:val="22"/>
        </w:rPr>
        <w:t xml:space="preserve">(17A,524) </w:t>
      </w:r>
      <w:r>
        <w:rPr>
          <w:rFonts w:ascii="Times New Roman" w:hAnsi="Times New Roman"/>
          <w:b/>
          <w:i w:val="false"/>
          <w:color w:val="000000"/>
          <w:sz w:val="22"/>
        </w:rPr>
        <w:t xml:space="preserve">New or innovative electronic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Iowa Code section 524.802A as enacted by </w:t>
      </w:r>
      <w:r>
        <w:rPr>
          <w:rFonts w:ascii="Times New Roman" w:hAnsi="Times New Roman"/>
          <w:b w:val="false"/>
          <w:i w:val="false"/>
          <w:color w:val="000000"/>
          <w:sz w:val="22"/>
        </w:rPr>
        <w:t>2022 Iowa Acts, Senate File 586</w:t>
      </w:r>
      <w:r>
        <w:rPr>
          <w:rFonts w:ascii="Times New Roman" w:hAnsi="Times New Roman"/>
          <w:b w:val="false"/>
          <w:i w:val="false"/>
          <w:color w:val="000000"/>
          <w:sz w:val="22"/>
        </w:rPr>
        <w:t xml:space="preserve">, authorizes a state bank to engage in new or innovative electronic activities that are part of the business of banking. When considering a proposal to engage in new or innovative electronic activities, the superintendent will consider whether the activity is expressly authorized for state banks under Iowa Code chapter </w:t>
      </w:r>
      <w:hyperlink r:id="rId35">
        <w:r>
          <w:rPr>
            <w:rStyle w:val="Hyperlink"/>
            <w:rFonts w:ascii="Times New Roman" w:hAnsi="Times New Roman"/>
            <w:b w:val="false"/>
            <w:i w:val="false"/>
            <w:color w:val="000000"/>
            <w:sz w:val="22"/>
          </w:rPr>
          <w:t>524</w:t>
        </w:r>
      </w:hyperlink>
      <w:r>
        <w:rPr>
          <w:rFonts w:ascii="Times New Roman" w:hAnsi="Times New Roman"/>
          <w:b w:val="false"/>
          <w:i w:val="false"/>
          <w:color w:val="000000"/>
          <w:sz w:val="22"/>
        </w:rPr>
        <w:t>, whether the activity is the functional equivalent or a logical extension of any activity authorized for state banks, whether the state bank has the expertise necessary to understand and manage the activity and the associated risks, and whether the activity presents similar risks to those state banks already assume.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w:t>
      </w:r>
      <w:r>
        <w:rPr>
          <w:rFonts w:ascii="Times New Roman" w:hAnsi="Times New Roman"/>
          <w:b w:val="false"/>
          <w:i w:val="false"/>
          <w:color w:val="000000"/>
          <w:sz w:val="22"/>
        </w:rPr>
        <w:t> </w:t>
      </w:r>
      <w:r>
        <w:rPr>
          <w:rFonts w:ascii="Times New Roman" w:hAnsi="Times New Roman"/>
          <w:b w:val="false"/>
          <w:i/>
          <w:color w:val="000000"/>
          <w:sz w:val="22"/>
        </w:rPr>
        <w:t xml:space="preserve">Board responsibilities. </w:t>
      </w:r>
      <w:r>
        <w:rPr>
          <w:rFonts w:ascii="Times New Roman" w:hAnsi="Times New Roman"/>
          <w:b w:val="false"/>
          <w:i w:val="false"/>
          <w:color w:val="000000"/>
          <w:sz w:val="22"/>
        </w:rPr>
        <w:t xml:space="preserve">The board of directors of a state bank considering engaging in a new or innovative electronic activity shall first evaluate the risks associated with the proposed new or innovative electronic activity and ensure that the state bank conducts the proposed new or innovative electronic activities in compliance with Iowa Code section 524.802A(3) as enacted by </w:t>
      </w:r>
      <w:r>
        <w:rPr>
          <w:rFonts w:ascii="Times New Roman" w:hAnsi="Times New Roman"/>
          <w:b w:val="false"/>
          <w:i w:val="false"/>
          <w:color w:val="000000"/>
          <w:sz w:val="22"/>
        </w:rPr>
        <w:t>2022 Iowa Acts, Senate File 586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state bank desiring to engage in new or innovative electronic activities should first meet with the superintendent to discuss the proposed electronic activities. After meeting with the superintendent, a state bank proposing to engage in new or innovative electronic activities shall submit a formal proposal to the superintendent that shall, at a minimum,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proposed new or innovative electronic activities, including how the proposed electronic activities align with the strategy and business objectives of the state bank.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any state or federal laws and regulations expected to apply to the proposed electronic activities. Examples: compliance (terms, conditions, disclosures), Bank Secrecy Act, federal securities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state bank’s corporate governance process that will oversee the proposed electronic activities, including ongoing monitoring to identify and handle any problems or incidents that may arise.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resources and management information systems necessary to oversee the electronic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Due diligence materials, including risk assessments (e.g., operational risk, liquidity risk, strategic risk, compliance risk) and information on third-party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any other licenses or approvals required from any regulatory authority to engage in the proposed new or innovative electronic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the capital position of the state bank in relation to the risks associated with the proposed new or innovative electronic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state bank’s exit strategy for the proposed new or innovative electronic activity if the activity proves unsuccessful.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2.18(4)</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superintendent may investigate as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2.18(5)</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superintendent shall approve or deny the application, and the decision by the superintendent shall be conveyed in writing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2.18(6)</w:t>
      </w:r>
      <w:r>
        <w:rPr>
          <w:rFonts w:ascii="Times New Roman" w:hAnsi="Times New Roman"/>
          <w:b w:val="false"/>
          <w:i w:val="false"/>
          <w:color w:val="000000"/>
          <w:sz w:val="22"/>
        </w:rPr>
        <w:t> </w:t>
      </w:r>
      <w:r>
        <w:rPr>
          <w:rFonts w:ascii="Times New Roman" w:hAnsi="Times New Roman"/>
          <w:b w:val="false"/>
          <w:i/>
          <w:color w:val="000000"/>
          <w:sz w:val="22"/>
        </w:rPr>
        <w:t xml:space="preserve">Other relevant factors. </w:t>
      </w:r>
      <w:r>
        <w:rPr>
          <w:rFonts w:ascii="Times New Roman" w:hAnsi="Times New Roman"/>
          <w:b w:val="false"/>
          <w:i w:val="false"/>
          <w:color w:val="000000"/>
          <w:sz w:val="22"/>
        </w:rPr>
        <w:t xml:space="preserve">The following provisions apply to a state bank seeking approval to engage in new or innovative electronic activities pursuant to Iowa Code section 524.802A as enacted by </w:t>
      </w:r>
      <w:r>
        <w:rPr>
          <w:rFonts w:ascii="Times New Roman" w:hAnsi="Times New Roman"/>
          <w:b w:val="false"/>
          <w:i w:val="false"/>
          <w:color w:val="000000"/>
          <w:sz w:val="22"/>
        </w:rPr>
        <w:t>2022 Iowa Acts, Senate File 586</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bank shall contact its primary federal regulator to determine any federal legal requirements that may apply to the proposed activity and the permissibility of the activity under applicable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approval to engage in a new or electronic activity, a state bank that shares any electronic space, including a co-branded website, with a bank subsidiary, affiliate, or any other third party, must take reasonable steps to clearly, conspicuously, and understandably distinguish between the products and services offered by the state bank and those offered by the state bank’s subsidiary, affiliate, or any other third party.</w:t>
      </w:r>
    </w:p>
    <w:p>
      <w:pPr>
        <w:spacing w:before="0" w:after="0"/>
        <w:ind w:left="120"/>
        <w:jc w:val="both"/>
      </w:pPr>
      <w:r>
        <w:rPr>
          <w:rFonts w:ascii="Times New Roman" w:hAnsi="Times New Roman"/>
          <w:b w:val="false"/>
          <w:i w:val="false"/>
          <w:color w:val="000000"/>
          <w:sz w:val="22"/>
        </w:rPr>
        <w:t xml:space="preserve">This rule is intended to implement Iowa Code section 524.802A as enacted by </w:t>
      </w:r>
      <w:r>
        <w:rPr>
          <w:rFonts w:ascii="Times New Roman" w:hAnsi="Times New Roman"/>
          <w:b w:val="false"/>
          <w:i w:val="false"/>
          <w:color w:val="000000"/>
          <w:sz w:val="22"/>
        </w:rPr>
        <w:t>2022 Iowa Acts, Senate File 586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6796C</w:t>
      </w:r>
      <w:r>
        <w:rPr>
          <w:rFonts w:ascii="Times New Roman" w:hAnsi="Times New Roman"/>
          <w:b w:val="false"/>
          <w:i w:val="false"/>
          <w:color w:val="000000"/>
          <w:sz w:val="16"/>
        </w:rPr>
        <w:t>, IAB 1/11/23, effective 2/15/23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187—2.19</w:t>
      </w:r>
      <w:r>
        <w:rPr>
          <w:rFonts w:ascii="Times New Roman" w:hAnsi="Times New Roman"/>
          <w:b/>
          <w:i w:val="false"/>
          <w:color w:val="000000"/>
          <w:sz w:val="22"/>
        </w:rPr>
        <w:t xml:space="preserve">(17A,524) </w:t>
      </w:r>
      <w:r>
        <w:rPr>
          <w:rFonts w:ascii="Times New Roman" w:hAnsi="Times New Roman"/>
          <w:b/>
          <w:i w:val="false"/>
          <w:color w:val="000000"/>
          <w:sz w:val="22"/>
        </w:rPr>
        <w:t xml:space="preserve">Required fees. </w:t>
      </w:r>
      <w:r>
        <w:rPr>
          <w:rFonts w:ascii="Times New Roman" w:hAnsi="Times New Roman"/>
          <w:b w:val="false"/>
          <w:i w:val="false"/>
          <w:color w:val="000000"/>
          <w:sz w:val="22"/>
        </w:rPr>
        <w:t xml:space="preserve">The following is a schedule of the fees for corporate applications filed by state banks adopted by the superintendent: </w:t>
      </w:r>
    </w:p>
    <w:tbl>
      <w:tblPr>
        <w:tblW w:w="5000" w:type="pct"/>
        <w:tblCellSpacing w:w="0" w:type="auto"/>
        <w:tblBorders>
          <w:top w:val="none"/>
          <w:left w:val="none"/>
          <w:bottom w:val="none"/>
          <w:right w:val="none"/>
          <w:insideH w:val="none"/>
          <w:insideV w:val="none"/>
        </w:tblBorders>
        <w:tblLayout w:type="fixed"/>
      </w:tblPr>
      <w:tblGrid>
        <w:gridCol w:w="6048"/>
        <w:gridCol w:w="5472"/>
      </w:tblGrid>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Establish a bank office: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$2,000 </w:t>
            </w:r>
          </w:p>
        </w:tc>
      </w:tr>
      <w:tr>
        <w:trPr>
          <w:trHeight w:val="39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Establish a mobile bank office, courier service, or convenience office: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Relocate principal place of business: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Relocate a bank office: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Conversion to a state bank: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$5,050 + examination fee</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Merger: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Two banks: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More than two banks (for each additional bank):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Bank holding company into state bank: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Voluntary dissolution: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Purchase and assumption of assets and liabilities: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New (de novo) state bank: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Reverse stock split: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Change in bank control: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Failure resolutions:</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Acquisition by de novo group: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$5,500</w:t>
            </w:r>
          </w:p>
        </w:tc>
      </w:tr>
      <w:tr>
        <w:trPr>
          <w:trHeight w:val="39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Acquisition by existing bank, bank holding </w:t>
            </w:r>
            <w:r>
              <w:br/>
            </w:r>
            <w:r>
              <w:rPr>
                <w:rFonts w:ascii="Times New Roman" w:hAnsi="Times New Roman"/>
                <w:b w:val="false"/>
                <w:i w:val="false"/>
                <w:color w:val="000000"/>
                <w:sz w:val="16"/>
              </w:rPr>
              <w:t>   company, or experienced group:</w:t>
            </w:r>
          </w:p>
        </w:tc>
        <w:tc>
          <w:tcPr>
            <w:tcW w:w="5472" w:type="dxa"/>
            <w:tcBorders/>
            <w:tcMar>
              <w:top w:w="30" w:type="dxa"/>
              <w:left w:w="30" w:type="dxa"/>
              <w:bottom w:w="15" w:type="dxa"/>
              <w:right w:w="30" w:type="dxa"/>
            </w:tcMar>
            <w:vAlign w:val="top"/>
          </w:tcPr>
          <w:p>
            <w:pPr>
              <w:spacing w:before="0" w:after="0"/>
              <w:ind w:left="0"/>
              <w:jc w:val="left"/>
            </w:pPr>
            <w:r>
              <w:br/>
            </w:r>
            <w:r>
              <w:rPr>
                <w:rFonts w:ascii="Times New Roman" w:hAnsi="Times New Roman"/>
                <w:b w:val="false"/>
                <w:i w:val="false"/>
                <w:color w:val="000000"/>
                <w:sz w:val="16"/>
              </w:rPr>
              <w:t>$3,000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Amendment or restatement of articles of incorporation: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Review and file documents with secretary</w:t>
            </w:r>
            <w:r>
              <w:br/>
            </w:r>
            <w:r>
              <w:rPr>
                <w:rFonts w:ascii="Times New Roman" w:hAnsi="Times New Roman"/>
                <w:b w:val="false"/>
                <w:i w:val="false"/>
                <w:color w:val="000000"/>
                <w:sz w:val="16"/>
              </w:rPr>
              <w:t xml:space="preserve">   of state not in conjunction with a pending application </w:t>
            </w:r>
            <w:r>
              <w:br/>
            </w:r>
            <w:r>
              <w:rPr>
                <w:rFonts w:ascii="Times New Roman" w:hAnsi="Times New Roman"/>
                <w:b w:val="false"/>
                <w:i w:val="false"/>
                <w:color w:val="000000"/>
                <w:sz w:val="16"/>
              </w:rPr>
              <w:t xml:space="preserve">   (example: amendments):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$550</w:t>
            </w:r>
          </w:p>
        </w:tc>
      </w:tr>
      <w:tr>
        <w:trPr>
          <w:trHeight w:val="57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Review and file documents with secretary </w:t>
            </w:r>
            <w:r>
              <w:br/>
            </w:r>
            <w:r>
              <w:rPr>
                <w:rFonts w:ascii="Times New Roman" w:hAnsi="Times New Roman"/>
                <w:b w:val="false"/>
                <w:i w:val="false"/>
                <w:color w:val="000000"/>
                <w:sz w:val="16"/>
              </w:rPr>
              <w:t xml:space="preserve">   of state in conjunction with a conversion to </w:t>
            </w:r>
            <w:r>
              <w:br/>
            </w:r>
            <w:r>
              <w:rPr>
                <w:rFonts w:ascii="Times New Roman" w:hAnsi="Times New Roman"/>
                <w:b w:val="false"/>
                <w:i w:val="false"/>
                <w:color w:val="000000"/>
                <w:sz w:val="16"/>
              </w:rPr>
              <w:t xml:space="preserve">   or merger with a national bank or thrift: </w:t>
            </w:r>
          </w:p>
        </w:tc>
        <w:tc>
          <w:tcPr>
            <w:tcW w:w="5472" w:type="dxa"/>
            <w:tcBorders/>
            <w:tcMar>
              <w:top w:w="30" w:type="dxa"/>
              <w:left w:w="30" w:type="dxa"/>
              <w:bottom w:w="15" w:type="dxa"/>
              <w:right w:w="30" w:type="dxa"/>
            </w:tcMar>
            <w:vAlign w:val="top"/>
          </w:tcPr>
          <w:p>
            <w:pPr>
              <w:spacing w:before="0" w:after="0"/>
              <w:ind w:left="0"/>
              <w:jc w:val="left"/>
            </w:pPr>
            <w:r>
              <w:br/>
            </w:r>
            <w:r>
              <w:br/>
            </w:r>
            <w:r>
              <w:rPr>
                <w:rFonts w:ascii="Times New Roman" w:hAnsi="Times New Roman"/>
                <w:b w:val="false"/>
                <w:i w:val="false"/>
                <w:color w:val="000000"/>
                <w:sz w:val="16"/>
              </w:rPr>
              <w:t>$550</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State bank merger into out-of-state bank or national bank: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$505</w:t>
            </w:r>
          </w:p>
        </w:tc>
      </w:tr>
      <w:tr>
        <w:trPr>
          <w:trHeight w:val="210" w:hRule="atLeast"/>
        </w:trPr>
        <w:tc>
          <w:tcPr>
            <w:tcW w:w="60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Certificate of Good Standing or Proof of Official Records: </w:t>
            </w:r>
          </w:p>
        </w:tc>
        <w:tc>
          <w:tcPr>
            <w:tcW w:w="5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524.213</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524.303</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524.305</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524.312</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524.544</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524.802A</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524.1201</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524.1303</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524.1309</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524.1401</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524.1402</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524.1403</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524.1404</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524.1405</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524.1410</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524.1413</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524.1415</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524.1505</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524.1508</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524.1509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July 1, 1975]</w:t>
      </w:r>
    </w:p>
    <w:p>
      <w:pPr>
        <w:spacing w:before="0" w:after="0"/>
        <w:ind w:left="120"/>
        <w:jc w:val="center"/>
      </w:pPr>
      <w:r>
        <w:rPr>
          <w:rFonts w:ascii="Times New Roman" w:hAnsi="Times New Roman"/>
          <w:b w:val="false"/>
          <w:i w:val="false"/>
          <w:color w:val="000000"/>
          <w:sz w:val="21"/>
        </w:rPr>
        <w:t>[Filed emergency 6/10/77—published 6/29/77, effective 6/10/77]</w:t>
      </w:r>
    </w:p>
    <w:p>
      <w:pPr>
        <w:spacing w:before="0" w:after="0"/>
        <w:ind w:left="120"/>
        <w:jc w:val="center"/>
      </w:pPr>
      <w:r>
        <w:rPr>
          <w:rFonts w:ascii="Times New Roman" w:hAnsi="Times New Roman"/>
          <w:b w:val="false"/>
          <w:i w:val="false"/>
          <w:color w:val="000000"/>
          <w:sz w:val="21"/>
        </w:rPr>
        <w:t>[Filed 9/1/77, Notice 6/29/77—published 9/21/77, effective 10/26/77 and 11/1/77]</w:t>
      </w:r>
    </w:p>
    <w:p>
      <w:pPr>
        <w:spacing w:before="0" w:after="0"/>
        <w:ind w:left="120"/>
        <w:jc w:val="center"/>
      </w:pPr>
      <w:r>
        <w:rPr>
          <w:rFonts w:ascii="Times New Roman" w:hAnsi="Times New Roman"/>
          <w:b w:val="false"/>
          <w:i w:val="false"/>
          <w:color w:val="000000"/>
          <w:sz w:val="21"/>
        </w:rPr>
        <w:t>[Filed 3/16/79, Notice 2/7/79—published 4/4/79, effective 5/9/79]</w:t>
      </w:r>
    </w:p>
    <w:p>
      <w:pPr>
        <w:spacing w:before="0" w:after="0"/>
        <w:ind w:left="120"/>
        <w:jc w:val="center"/>
      </w:pPr>
      <w:r>
        <w:rPr>
          <w:rFonts w:ascii="Times New Roman" w:hAnsi="Times New Roman"/>
          <w:b w:val="false"/>
          <w:i w:val="false"/>
          <w:color w:val="000000"/>
          <w:sz w:val="21"/>
        </w:rPr>
        <w:t>[Filed 4/1/87, Notice 2/25/87—published 4/22/87, effective 5/28/87]</w:t>
      </w:r>
    </w:p>
    <w:p>
      <w:pPr>
        <w:spacing w:before="0" w:after="0"/>
        <w:ind w:left="120"/>
        <w:jc w:val="center"/>
      </w:pPr>
      <w:r>
        <w:rPr>
          <w:rFonts w:ascii="Times New Roman" w:hAnsi="Times New Roman"/>
          <w:b w:val="false"/>
          <w:i w:val="false"/>
          <w:color w:val="000000"/>
          <w:sz w:val="21"/>
        </w:rPr>
        <w:t>[Filed 1/21/88, Notice 11/18/87—published 2/10/88, effective 3/16/88]</w:t>
      </w:r>
    </w:p>
    <w:p>
      <w:pPr>
        <w:spacing w:before="0" w:after="0"/>
        <w:ind w:left="120"/>
        <w:jc w:val="center"/>
      </w:pPr>
      <w:r>
        <w:rPr>
          <w:rFonts w:ascii="Times New Roman" w:hAnsi="Times New Roman"/>
          <w:b w:val="false"/>
          <w:i w:val="false"/>
          <w:color w:val="000000"/>
          <w:sz w:val="21"/>
        </w:rPr>
        <w:t>[Filed 10/10/90, Notice 9/5/90—published 10/31/90, effective 1/1/91]</w:t>
      </w:r>
    </w:p>
    <w:p>
      <w:pPr>
        <w:spacing w:before="0" w:after="0"/>
        <w:ind w:left="120"/>
        <w:jc w:val="center"/>
      </w:pPr>
      <w:r>
        <w:rPr>
          <w:rFonts w:ascii="Times New Roman" w:hAnsi="Times New Roman"/>
          <w:b w:val="false"/>
          <w:i w:val="false"/>
          <w:color w:val="000000"/>
          <w:sz w:val="21"/>
        </w:rPr>
        <w:t>[Filed 5/24/91, Notice 4/3/91—published 6/12/91, effective 7/17/91]</w:t>
      </w:r>
    </w:p>
    <w:p>
      <w:pPr>
        <w:spacing w:before="0" w:after="0"/>
        <w:ind w:left="120"/>
        <w:jc w:val="center"/>
      </w:pPr>
      <w:r>
        <w:rPr>
          <w:rFonts w:ascii="Times New Roman" w:hAnsi="Times New Roman"/>
          <w:b w:val="false"/>
          <w:i w:val="false"/>
          <w:color w:val="000000"/>
          <w:sz w:val="21"/>
        </w:rPr>
        <w:t>[Filed 12/17/91, Notice 11/13/91—published 1/8/92, effective 2/12/92]</w:t>
      </w:r>
    </w:p>
    <w:p>
      <w:pPr>
        <w:spacing w:before="0" w:after="0"/>
        <w:ind w:left="120"/>
        <w:jc w:val="center"/>
      </w:pPr>
      <w:r>
        <w:rPr>
          <w:rFonts w:ascii="Times New Roman" w:hAnsi="Times New Roman"/>
          <w:b w:val="false"/>
          <w:i w:val="false"/>
          <w:color w:val="000000"/>
          <w:sz w:val="21"/>
        </w:rPr>
        <w:t>[Filed 8/14/92, Notice 5/27/92—published 9/2/92, effective 10/7/92]</w:t>
      </w:r>
    </w:p>
    <w:p>
      <w:pPr>
        <w:spacing w:before="0" w:after="0"/>
        <w:ind w:left="120"/>
        <w:jc w:val="center"/>
      </w:pPr>
      <w:r>
        <w:rPr>
          <w:rFonts w:ascii="Times New Roman" w:hAnsi="Times New Roman"/>
          <w:b w:val="false"/>
          <w:i w:val="false"/>
          <w:color w:val="000000"/>
          <w:sz w:val="21"/>
        </w:rPr>
        <w:t>[Filed 1/29/93, Notice 12/23/92—published 2/17/93, effective 3/24/93]</w:t>
      </w:r>
    </w:p>
    <w:p>
      <w:pPr>
        <w:spacing w:before="0" w:after="0"/>
        <w:ind w:left="120"/>
        <w:jc w:val="center"/>
      </w:pPr>
      <w:r>
        <w:rPr>
          <w:rFonts w:ascii="Times New Roman" w:hAnsi="Times New Roman"/>
          <w:b w:val="false"/>
          <w:i w:val="false"/>
          <w:color w:val="000000"/>
          <w:sz w:val="21"/>
        </w:rPr>
        <w:t>[Filed 4/8/93, Notice 3/3/93—published 4/28/93, effective 6/2/93]</w:t>
      </w:r>
    </w:p>
    <w:p>
      <w:pPr>
        <w:spacing w:before="0" w:after="0"/>
        <w:ind w:left="120"/>
        <w:jc w:val="center"/>
      </w:pPr>
      <w:r>
        <w:rPr>
          <w:rFonts w:ascii="Times New Roman" w:hAnsi="Times New Roman"/>
          <w:b w:val="false"/>
          <w:i w:val="false"/>
          <w:color w:val="000000"/>
          <w:sz w:val="21"/>
        </w:rPr>
        <w:t>[Filed 9/17/96, Notice 7/17/96—published 10/9/96, 11/13/96]</w:t>
      </w:r>
    </w:p>
    <w:p>
      <w:pPr>
        <w:spacing w:before="0" w:after="0"/>
        <w:ind w:left="120"/>
        <w:jc w:val="center"/>
      </w:pPr>
      <w:r>
        <w:rPr>
          <w:rFonts w:ascii="Times New Roman" w:hAnsi="Times New Roman"/>
          <w:b w:val="false"/>
          <w:i w:val="false"/>
          <w:color w:val="000000"/>
          <w:sz w:val="21"/>
        </w:rPr>
        <w:t>[Filed 2/10/05, Notice 1/5/05—published 3/2/05, effective 4/6/05]</w:t>
      </w:r>
    </w:p>
    <w:p>
      <w:pPr>
        <w:spacing w:before="0" w:after="0"/>
        <w:ind w:left="120"/>
        <w:jc w:val="center"/>
      </w:pPr>
      <w:r>
        <w:rPr>
          <w:rFonts w:ascii="Times New Roman" w:hAnsi="Times New Roman"/>
          <w:b w:val="false"/>
          <w:i w:val="false"/>
          <w:color w:val="000000"/>
          <w:sz w:val="21"/>
        </w:rPr>
        <w:t>[Filed 3/10/06, Notice 2/1/06—published 3/29/06, effective 5/3/06]</w:t>
      </w:r>
    </w:p>
    <w:p>
      <w:pPr>
        <w:spacing w:before="0" w:after="0"/>
        <w:ind w:left="120"/>
        <w:jc w:val="center"/>
      </w:pPr>
      <w:r>
        <w:rPr>
          <w:rFonts w:ascii="Times New Roman" w:hAnsi="Times New Roman"/>
          <w:b w:val="false"/>
          <w:i w:val="false"/>
          <w:color w:val="000000"/>
          <w:sz w:val="21"/>
        </w:rPr>
        <w:t>[Filed ARC 0210C</w:t>
      </w:r>
      <w:r>
        <w:rPr>
          <w:rFonts w:ascii="Times New Roman" w:hAnsi="Times New Roman"/>
          <w:b w:val="false"/>
          <w:i w:val="false"/>
          <w:color w:val="000000"/>
          <w:sz w:val="21"/>
        </w:rPr>
        <w:t xml:space="preserve"> (Notice ARC 9953B, IAB 1/11/12)</w:t>
      </w:r>
      <w:r>
        <w:rPr>
          <w:rFonts w:ascii="Times New Roman" w:hAnsi="Times New Roman"/>
          <w:b w:val="false"/>
          <w:i w:val="false"/>
          <w:color w:val="000000"/>
          <w:sz w:val="21"/>
        </w:rPr>
        <w:t>, IAB 7/11/12, effective 8/29/12]</w:t>
      </w:r>
    </w:p>
    <w:p>
      <w:pPr>
        <w:spacing w:before="0" w:after="0"/>
        <w:ind w:left="120"/>
        <w:jc w:val="center"/>
      </w:pPr>
      <w:r>
        <w:rPr>
          <w:rFonts w:ascii="Times New Roman" w:hAnsi="Times New Roman"/>
          <w:b w:val="false"/>
          <w:i w:val="false"/>
          <w:color w:val="000000"/>
          <w:sz w:val="21"/>
        </w:rPr>
        <w:t>[Filed ARC 4055C</w:t>
      </w:r>
      <w:r>
        <w:rPr>
          <w:rFonts w:ascii="Times New Roman" w:hAnsi="Times New Roman"/>
          <w:b w:val="false"/>
          <w:i w:val="false"/>
          <w:color w:val="000000"/>
          <w:sz w:val="21"/>
        </w:rPr>
        <w:t xml:space="preserve"> (Notice ARC 3949C,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6796C</w:t>
      </w:r>
      <w:r>
        <w:rPr>
          <w:rFonts w:ascii="Times New Roman" w:hAnsi="Times New Roman"/>
          <w:b w:val="false"/>
          <w:i w:val="false"/>
          <w:color w:val="000000"/>
          <w:sz w:val="21"/>
        </w:rPr>
        <w:t xml:space="preserve"> (Notice ARC 6603C, IAB 10/19/22)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7916C</w:t>
      </w:r>
      <w:r>
        <w:rPr>
          <w:rFonts w:ascii="Times New Roman" w:hAnsi="Times New Roman"/>
          <w:b w:val="false"/>
          <w:i w:val="false"/>
          <w:color w:val="000000"/>
          <w:sz w:val="21"/>
        </w:rPr>
        <w:t xml:space="preserve"> (Notice ARC 7576C, IAB 2/7/24)</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4.303.pdf" Type="http://schemas.openxmlformats.org/officeDocument/2006/relationships/hyperlink" Id="rId5"/>
    <Relationship TargetMode="External" Target="https://www.legis.iowa.gov/docs/ico/chapter/524.1410.pdf" Type="http://schemas.openxmlformats.org/officeDocument/2006/relationships/hyperlink" Id="rId6"/>
    <Relationship TargetMode="External" Target="https://www.legis.iowa.gov/docs/ico/chapter/524.1413-1415.pdf" Type="http://schemas.openxmlformats.org/officeDocument/2006/relationships/hyperlink" Id="rId7"/>
    <Relationship TargetMode="External" Target="https://www.legis.iowa.gov/docs/ico/chapter/524.1401-1405.pdf" Type="http://schemas.openxmlformats.org/officeDocument/2006/relationships/hyperlink" Id="rId8"/>
    <Relationship TargetMode="External" Target="https://www.legis.iowa.gov/docs/ico/chapter/524.312.pdf" Type="http://schemas.openxmlformats.org/officeDocument/2006/relationships/hyperlink" Id="rId9"/>
    <Relationship TargetMode="External" Target="https://www.legis.iowa.gov/docs/ico/chapter/524.1201.pdf" Type="http://schemas.openxmlformats.org/officeDocument/2006/relationships/hyperlink" Id="rId10"/>
    <Relationship TargetMode="External" Target="https://www.legis.iowa.gov/docs/ico/chapter/524.1303.pdf" Type="http://schemas.openxmlformats.org/officeDocument/2006/relationships/hyperlink" Id="rId11"/>
    <Relationship TargetMode="External" Target="https://www.legis.iowa.gov/docs/ico/chapter/524.1403.pdf" Type="http://schemas.openxmlformats.org/officeDocument/2006/relationships/hyperlink" Id="rId12"/>
    <Relationship TargetMode="External" Target="https://www.legis.iowa.gov/docs/ico/chapter/524.312.pdf" Type="http://schemas.openxmlformats.org/officeDocument/2006/relationships/hyperlink" Id="rId13"/>
    <Relationship TargetMode="External" Target="https://www.legis.iowa.gov/docs/ico/chapter/524.544.pdf" Type="http://schemas.openxmlformats.org/officeDocument/2006/relationships/hyperlink" Id="rId14"/>
    <Relationship TargetMode="External" Target="https://www.legis.iowa.gov/docs/ico/chapter/524.314.pdf" Type="http://schemas.openxmlformats.org/officeDocument/2006/relationships/hyperlink" Id="rId15"/>
    <Relationship TargetMode="External" Target="https://www.legis.iowa.gov/docs/ico/chapter/524.1505.pdf" Type="http://schemas.openxmlformats.org/officeDocument/2006/relationships/hyperlink" Id="rId16"/>
    <Relationship TargetMode="External" Target="https://www.legis.iowa.gov/docs/ico/chapter/524.1508.pdf" Type="http://schemas.openxmlformats.org/officeDocument/2006/relationships/hyperlink" Id="rId17"/>
    <Relationship TargetMode="External" Target="https://www.legis.iowa.gov/docs/ico/chapter/524.1509.pdf" Type="http://schemas.openxmlformats.org/officeDocument/2006/relationships/hyperlink" Id="rId18"/>
    <Relationship TargetMode="External" Target="https://www.legis.iowa.gov/docs/ico/chapter/17A.3.pdf" Type="http://schemas.openxmlformats.org/officeDocument/2006/relationships/hyperlink" Id="rId19"/>
    <Relationship TargetMode="External" Target="https://www.legis.iowa.gov/docs/ico/chapter/524.305.pdf" Type="http://schemas.openxmlformats.org/officeDocument/2006/relationships/hyperlink" Id="rId20"/>
    <Relationship TargetMode="External" Target="https://www.legis.iowa.gov/docs/ico/chapter/524.312.pdf" Type="http://schemas.openxmlformats.org/officeDocument/2006/relationships/hyperlink" Id="rId21"/>
    <Relationship TargetMode="External" Target="https://www.legis.iowa.gov/docs/ico/chapter/524.1201.pdf" Type="http://schemas.openxmlformats.org/officeDocument/2006/relationships/hyperlink" Id="rId22"/>
    <Relationship TargetMode="External" Target="https://www.legis.iowa.gov/docs/ico/chapter/524.1303.pdf" Type="http://schemas.openxmlformats.org/officeDocument/2006/relationships/hyperlink" Id="rId23"/>
    <Relationship TargetMode="External" Target="https://www.legis.iowa.gov/docs/ico/chapter/524.1403.pdf" Type="http://schemas.openxmlformats.org/officeDocument/2006/relationships/hyperlink" Id="rId24"/>
    <Relationship TargetMode="External" Target="https://www.legis.iowa.gov/docs/ico/chapter/524.103.pdf" Type="http://schemas.openxmlformats.org/officeDocument/2006/relationships/hyperlink" Id="rId25"/>
    <Relationship TargetMode="External" Target="https://www.legis.iowa.gov/docs/ico/chapter/524.103.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524.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524.825.pdf" Type="http://schemas.openxmlformats.org/officeDocument/2006/relationships/hyperlink" Id="rId30"/>
    <Relationship TargetMode="External" Target="https://www.legis.iowa.gov/docs/ico/chapter/17A.pdf" Type="http://schemas.openxmlformats.org/officeDocument/2006/relationships/hyperlink" Id="rId31"/>
    <Relationship TargetMode="External" Target="https://www.legis.iowa.gov/docs/ico/chapter/524.901.pdf" Type="http://schemas.openxmlformats.org/officeDocument/2006/relationships/hyperlink" Id="rId32"/>
    <Relationship TargetMode="External" Target="https://www.legis.iowa.gov/docs/ico/chapter/524.1201.pdf" Type="http://schemas.openxmlformats.org/officeDocument/2006/relationships/hyperlink" Id="rId33"/>
    <Relationship TargetMode="External" Target="https://www.legis.iowa.gov/docs/ico/chapter/524.1201.pdf" Type="http://schemas.openxmlformats.org/officeDocument/2006/relationships/hyperlink" Id="rId34"/>
    <Relationship TargetMode="External" Target="https://www.legis.iowa.gov/docs/ico/chapter/524.pdf" Type="http://schemas.openxmlformats.org/officeDocument/2006/relationships/hyperlink" Id="rId35"/>
    <Relationship TargetMode="External" Target="https://www.legis.iowa.gov/docs/ico/chapter/524.213.pdf" Type="http://schemas.openxmlformats.org/officeDocument/2006/relationships/hyperlink" Id="rId36"/>
    <Relationship TargetMode="External" Target="https://www.legis.iowa.gov/docs/ico/chapter/524.303.pdf" Type="http://schemas.openxmlformats.org/officeDocument/2006/relationships/hyperlink" Id="rId37"/>
    <Relationship TargetMode="External" Target="https://www.legis.iowa.gov/docs/ico/chapter/524.305.pdf" Type="http://schemas.openxmlformats.org/officeDocument/2006/relationships/hyperlink" Id="rId38"/>
    <Relationship TargetMode="External" Target="https://www.legis.iowa.gov/docs/ico/chapter/524.312.pdf" Type="http://schemas.openxmlformats.org/officeDocument/2006/relationships/hyperlink" Id="rId39"/>
    <Relationship TargetMode="External" Target="https://www.legis.iowa.gov/docs/ico/chapter/524.544.pdf" Type="http://schemas.openxmlformats.org/officeDocument/2006/relationships/hyperlink" Id="rId40"/>
    <Relationship TargetMode="External" Target="https://www.legis.iowa.gov/docs/ico/chapter/524.802A.pdf" Type="http://schemas.openxmlformats.org/officeDocument/2006/relationships/hyperlink" Id="rId41"/>
    <Relationship TargetMode="External" Target="https://www.legis.iowa.gov/docs/ico/chapter/524.1201.pdf" Type="http://schemas.openxmlformats.org/officeDocument/2006/relationships/hyperlink" Id="rId42"/>
    <Relationship TargetMode="External" Target="https://www.legis.iowa.gov/docs/ico/chapter/524.1303.pdf" Type="http://schemas.openxmlformats.org/officeDocument/2006/relationships/hyperlink" Id="rId43"/>
    <Relationship TargetMode="External" Target="https://www.legis.iowa.gov/docs/ico/chapter/524.1309.pdf" Type="http://schemas.openxmlformats.org/officeDocument/2006/relationships/hyperlink" Id="rId44"/>
    <Relationship TargetMode="External" Target="https://www.legis.iowa.gov/docs/ico/chapter/524.1401.pdf" Type="http://schemas.openxmlformats.org/officeDocument/2006/relationships/hyperlink" Id="rId45"/>
    <Relationship TargetMode="External" Target="https://www.legis.iowa.gov/docs/ico/chapter/524.1402.pdf" Type="http://schemas.openxmlformats.org/officeDocument/2006/relationships/hyperlink" Id="rId46"/>
    <Relationship TargetMode="External" Target="https://www.legis.iowa.gov/docs/ico/chapter/524.1403.pdf" Type="http://schemas.openxmlformats.org/officeDocument/2006/relationships/hyperlink" Id="rId47"/>
    <Relationship TargetMode="External" Target="https://www.legis.iowa.gov/docs/ico/chapter/524.1404.pdf" Type="http://schemas.openxmlformats.org/officeDocument/2006/relationships/hyperlink" Id="rId48"/>
    <Relationship TargetMode="External" Target="https://www.legis.iowa.gov/docs/ico/chapter/524.1405.pdf" Type="http://schemas.openxmlformats.org/officeDocument/2006/relationships/hyperlink" Id="rId49"/>
    <Relationship TargetMode="External" Target="https://www.legis.iowa.gov/docs/ico/chapter/524.1410.pdf" Type="http://schemas.openxmlformats.org/officeDocument/2006/relationships/hyperlink" Id="rId50"/>
    <Relationship TargetMode="External" Target="https://www.legis.iowa.gov/docs/ico/chapter/524.1413.pdf" Type="http://schemas.openxmlformats.org/officeDocument/2006/relationships/hyperlink" Id="rId51"/>
    <Relationship TargetMode="External" Target="https://www.legis.iowa.gov/docs/ico/chapter/524.1415.pdf" Type="http://schemas.openxmlformats.org/officeDocument/2006/relationships/hyperlink" Id="rId52"/>
    <Relationship TargetMode="External" Target="https://www.legis.iowa.gov/docs/ico/chapter/524.1505.pdf" Type="http://schemas.openxmlformats.org/officeDocument/2006/relationships/hyperlink" Id="rId53"/>
    <Relationship TargetMode="External" Target="https://www.legis.iowa.gov/docs/ico/chapter/524.1508.pdf" Type="http://schemas.openxmlformats.org/officeDocument/2006/relationships/hyperlink" Id="rId54"/>
    <Relationship TargetMode="External" Target="https://www.legis.iowa.gov/docs/ico/chapter/524.1509.pdf" Type="http://schemas.openxmlformats.org/officeDocument/2006/relationships/hyperlink" Id="rId5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