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MORTGAGE LOAN ORIGINATORS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187—19.1</w:t>
      </w:r>
      <w:r>
        <w:rPr>
          <w:rFonts w:ascii="Times New Roman" w:hAnsi="Times New Roman"/>
          <w:b/>
          <w:i w:val="false"/>
          <w:color w:val="000000"/>
          <w:sz w:val="22"/>
        </w:rPr>
        <w:t xml:space="preserve">(17A,535D)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section </w:t>
      </w:r>
      <w:hyperlink r:id="rId5">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 xml:space="preserve"> shall apply. In addition, unless the context otherwise requires, the following definitions shall apply to this chapter and to Iowa Code chapter </w:t>
      </w:r>
      <w:hyperlink r:id="rId6">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who has a license to operate as a mortgage loan originator in accordance with the provisions of Iowa Code section </w:t>
      </w:r>
      <w:hyperlink r:id="rId7">
        <w:r>
          <w:rPr>
            <w:rStyle w:val="Hyperlink"/>
            <w:rFonts w:ascii="Times New Roman" w:hAnsi="Times New Roman"/>
            <w:b w:val="false"/>
            <w:i w:val="false"/>
            <w:color w:val="000000"/>
            <w:sz w:val="22"/>
          </w:rPr>
          <w:t>535D.4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“Nationwide multistate licensing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“NMLS” </w:t>
      </w:r>
      <w:r>
        <w:rPr>
          <w:rFonts w:ascii="Times New Roman" w:hAnsi="Times New Roman"/>
          <w:b w:val="false"/>
          <w:i w:val="false"/>
          <w:color w:val="000000"/>
          <w:sz w:val="22"/>
        </w:rPr>
        <w:t>means a multistate licensing system developed and maintained by the Conference of State Bank Supervisors and the American Association of Residential Mortgage Regulators for the licensing and registration of mortgage loan originators, mortgage providers, mortgage lenders, mortgage brokers, and mortgage servicers.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mortgage loan originator test” </w:t>
      </w:r>
      <w:r>
        <w:rPr>
          <w:rFonts w:ascii="Times New Roman" w:hAnsi="Times New Roman"/>
          <w:b w:val="false"/>
          <w:i w:val="false"/>
          <w:color w:val="000000"/>
          <w:sz w:val="22"/>
        </w:rPr>
        <w:t xml:space="preserve">means the licensing test approved by the NMLS in accordance with the provisions of Iowa Code section </w:t>
      </w:r>
      <w:hyperlink r:id="rId8">
        <w:r>
          <w:rPr>
            <w:rStyle w:val="Hyperlink"/>
            <w:rFonts w:ascii="Times New Roman" w:hAnsi="Times New Roman"/>
            <w:b w:val="false"/>
            <w:i w:val="false"/>
            <w:color w:val="000000"/>
            <w:sz w:val="22"/>
          </w:rPr>
          <w:t>535D.8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“Servicer” </w:t>
      </w:r>
      <w:r>
        <w:rPr>
          <w:rFonts w:ascii="Times New Roman" w:hAnsi="Times New Roman"/>
          <w:b w:val="false"/>
          <w:i w:val="false"/>
          <w:color w:val="000000"/>
          <w:sz w:val="22"/>
        </w:rPr>
        <w:t>means a person that collects or receives payments, including principal, interest and trust items such as hazard insurance, property taxes and other amounts due, on behalf of a note holder or investor in accordance with the terms of a residential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 xml:space="preserve">means the superintendent of banking appointed pursuant to Iowa Code section </w:t>
      </w:r>
      <w:hyperlink r:id="rId9">
        <w:r>
          <w:rPr>
            <w:rStyle w:val="Hyperlink"/>
            <w:rFonts w:ascii="Times New Roman" w:hAnsi="Times New Roman"/>
            <w:b w:val="false"/>
            <w:i w:val="false"/>
            <w:color w:val="000000"/>
            <w:sz w:val="22"/>
          </w:rPr>
          <w:t>524.201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“Takes a residential mortgage loan application,” </w:t>
      </w:r>
      <w:r>
        <w:rPr>
          <w:rFonts w:ascii="Times New Roman" w:hAnsi="Times New Roman"/>
          <w:b w:val="false"/>
          <w:i w:val="false"/>
          <w:color w:val="000000"/>
          <w:sz w:val="22"/>
        </w:rPr>
        <w:t xml:space="preserve">with respect to Iowa Code section </w:t>
      </w:r>
      <w:hyperlink r:id="rId10">
        <w:r>
          <w:rPr>
            <w:rStyle w:val="Hyperlink"/>
            <w:rFonts w:ascii="Times New Roman" w:hAnsi="Times New Roman"/>
            <w:b w:val="false"/>
            <w:i w:val="false"/>
            <w:color w:val="000000"/>
            <w:sz w:val="22"/>
          </w:rPr>
          <w:t>535D.3(8)</w:t>
        </w:r>
      </w:hyperlink>
      <w:r>
        <w:rPr>
          <w:rFonts w:ascii="Times New Roman" w:hAnsi="Times New Roman"/>
          <w:b w:val="false"/>
          <w:i w:val="false"/>
          <w:color w:val="000000"/>
          <w:sz w:val="22"/>
        </w:rPr>
        <w:t>,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communication, regardless of form, from a mortgage loan originator to a borrower soliciting a loan application or requesting information typically required in an application for the purpose of deciding whether or not to extend the requested offer of a loan to a borrower;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communication, regardless of form, from a borrower to a mortgage loan originator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187—19.2</w:t>
      </w:r>
      <w:r>
        <w:rPr>
          <w:rFonts w:ascii="Times New Roman" w:hAnsi="Times New Roman"/>
          <w:b/>
          <w:i w:val="false"/>
          <w:color w:val="000000"/>
          <w:sz w:val="22"/>
        </w:rPr>
        <w:t xml:space="preserve">(17A,535D) </w:t>
      </w:r>
      <w:r>
        <w:rPr>
          <w:rFonts w:ascii="Times New Roman" w:hAnsi="Times New Roman"/>
          <w:b/>
          <w:i w:val="false"/>
          <w:color w:val="000000"/>
          <w:sz w:val="22"/>
        </w:rPr>
        <w:t xml:space="preserve">Mortgage loan originator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val="false"/>
          <w:color w:val="000000"/>
          <w:sz w:val="22"/>
        </w:rPr>
        <w:t xml:space="preserve">A natural person who applies for a license pursuant to Iowa Code section </w:t>
      </w:r>
      <w:hyperlink r:id="rId11">
        <w:r>
          <w:rPr>
            <w:rStyle w:val="Hyperlink"/>
            <w:rFonts w:ascii="Times New Roman" w:hAnsi="Times New Roman"/>
            <w:b w:val="false"/>
            <w:i w:val="false"/>
            <w:color w:val="000000"/>
            <w:sz w:val="22"/>
          </w:rPr>
          <w:t>535D.4</w:t>
        </w:r>
      </w:hyperlink>
      <w:r>
        <w:rPr>
          <w:rFonts w:ascii="Times New Roman" w:hAnsi="Times New Roman"/>
          <w:b w:val="false"/>
          <w:i w:val="false"/>
          <w:color w:val="000000"/>
          <w:sz w:val="22"/>
        </w:rPr>
        <w:t xml:space="preserve"> to act as a mortgage loan originator in this state shall apply with the superintendent through the NMLS. The superintendent may consider an application withdrawn if it does not contain all of the information required and the information is not submitted to the superintendent within 30 days after the superintendent requests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applying for a mortgage loan originator license, the applicant must complete the prelicensing education requirements pursuant to Iowa Code section </w:t>
      </w:r>
      <w:hyperlink r:id="rId12">
        <w:r>
          <w:rPr>
            <w:rStyle w:val="Hyperlink"/>
            <w:rFonts w:ascii="Times New Roman" w:hAnsi="Times New Roman"/>
            <w:b w:val="false"/>
            <w:i w:val="false"/>
            <w:color w:val="000000"/>
            <w:sz w:val="22"/>
          </w:rPr>
          <w:t>535D.7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applying for a mortgage loan originator license, the applicant must pass the SAFE mortgage loan originator test, which is comprised of two components: a national component and a state component. Applicants must pass each component with a score of 75 percent or higher.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val="false"/>
          <w:color w:val="000000"/>
          <w:sz w:val="22"/>
        </w:rPr>
        <w:t>The fee for an initial mortgage loan originator application is $50. This fee is nonrefundable. This fee is in addition to any fees established and charged by the NMLS, any approved education course provider, any approved education testing provider, any law enforcement agency for fingerprints and background checks, or by any credit reporting agency used by the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19.2(5)</w:t>
      </w:r>
      <w:r>
        <w:rPr>
          <w:rFonts w:ascii="Times New Roman" w:hAnsi="Times New Roman"/>
          <w:b w:val="false"/>
          <w:i w:val="false"/>
          <w:color w:val="000000"/>
          <w:sz w:val="22"/>
        </w:rPr>
        <w:t> </w:t>
      </w:r>
      <w:r>
        <w:rPr>
          <w:rFonts w:ascii="Times New Roman" w:hAnsi="Times New Roman"/>
          <w:b w:val="false"/>
          <w:i w:val="false"/>
          <w:color w:val="000000"/>
          <w:sz w:val="22"/>
        </w:rPr>
        <w:t xml:space="preserve"> An applicant must provide fingerprints, authorize a fingerprint background check through NMLS, and pay the appropriate fees for the purpose of conducting a national criminal history background check through the Federal Bureau of Investigation. This requirement applies to all individuals, regardless of whether the applicant was previously registered under Iowa Code chapter </w:t>
      </w:r>
      <w:hyperlink r:id="rId13">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or if the applicant has previously submitted fingerprint cards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19.2(6)</w:t>
      </w:r>
      <w:r>
        <w:rPr>
          <w:rFonts w:ascii="Times New Roman" w:hAnsi="Times New Roman"/>
          <w:b w:val="false"/>
          <w:i w:val="false"/>
          <w:color w:val="000000"/>
          <w:sz w:val="22"/>
        </w:rPr>
        <w:t> </w:t>
      </w:r>
      <w:r>
        <w:rPr>
          <w:rFonts w:ascii="Times New Roman" w:hAnsi="Times New Roman"/>
          <w:b w:val="false"/>
          <w:i w:val="false"/>
          <w:color w:val="000000"/>
          <w:sz w:val="22"/>
        </w:rPr>
        <w:t>Each applicant must provide authorization to obtain a credit report through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19.2(7)</w:t>
      </w:r>
      <w:r>
        <w:rPr>
          <w:rFonts w:ascii="Times New Roman" w:hAnsi="Times New Roman"/>
          <w:b w:val="false"/>
          <w:i w:val="false"/>
          <w:color w:val="000000"/>
          <w:sz w:val="22"/>
        </w:rPr>
        <w:t> </w:t>
      </w:r>
      <w:r>
        <w:rPr>
          <w:rFonts w:ascii="Times New Roman" w:hAnsi="Times New Roman"/>
          <w:b w:val="false"/>
          <w:i w:val="false"/>
          <w:color w:val="000000"/>
          <w:sz w:val="22"/>
        </w:rPr>
        <w:t>To engage in activities requiring a license, a mortgage loan originator must be covered under a surety bond that reflects the dollar amount of loans originated, processed, or underwritten, as the case may be, on an annual basis. The bond must be on a form provided by the superintendent. Satisfaction of this requirement shall be met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mortgage loan originator who is an employee or exclusive agent of a company subject to Iowa Code chapter </w:t>
      </w:r>
      <w:hyperlink r:id="rId14">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may be covered by the company’s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mortgage loan originator who is not covered by a company bond pursuant to paragraph </w:t>
      </w:r>
      <w:hyperlink r:id="rId17">
        <w:r>
          <w:rPr>
            <w:rStyle w:val="Hyperlink"/>
            <w:rFonts w:ascii="Times New Roman" w:hAnsi="Times New Roman"/>
            <w:b w:val="false"/>
            <w:i w:val="false"/>
            <w:color w:val="000000"/>
            <w:sz w:val="22"/>
          </w:rPr>
          <w:t>19.2(7)</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provide an individual surety bond meeting the requirements of paragraph </w:t>
      </w:r>
      <w:hyperlink r:id="rId18">
        <w:r>
          <w:rPr>
            <w:rStyle w:val="Hyperlink"/>
            <w:rFonts w:ascii="Times New Roman" w:hAnsi="Times New Roman"/>
            <w:b w:val="false"/>
            <w:i w:val="false"/>
            <w:color w:val="000000"/>
            <w:sz w:val="22"/>
          </w:rPr>
          <w:t>19.2(7)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surety bond amount required to be filed and maintained by or on behalf of a mortgage loan originator who is not an employee or exclusive agent of a company subject to Iowa Code chapter </w:t>
      </w:r>
      <w:hyperlink r:id="rId19">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shall be set and adjusted annually as necessary in accordance with the following scale, based on the volume of residential mortgage loans originated, processed, and underwritten, as the case may be, by the licensee during the preceding calendar year:</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Loans</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Bond Amount</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$0 – $5,000,000</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$25,000</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$5,000,001 – $20,000,000</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$50,000</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$20,000,001 – $50,000,000</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$75,000</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$50,000,001 – $100,000,000</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$100,000</w:t>
            </w:r>
          </w:p>
        </w:tc>
      </w:tr>
      <w:tr>
        <w:trPr>
          <w:trHeight w:val="210" w:hRule="atLeast"/>
        </w:trPr>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Over $100,000,000</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19.2(8)</w:t>
      </w:r>
      <w:r>
        <w:rPr>
          <w:rFonts w:ascii="Times New Roman" w:hAnsi="Times New Roman"/>
          <w:b w:val="false"/>
          <w:i w:val="false"/>
          <w:color w:val="000000"/>
          <w:sz w:val="22"/>
        </w:rPr>
        <w:t> </w:t>
      </w:r>
      <w:r>
        <w:rPr>
          <w:rFonts w:ascii="Times New Roman" w:hAnsi="Times New Roman"/>
          <w:b w:val="false"/>
          <w:i w:val="false"/>
          <w:color w:val="000000"/>
          <w:sz w:val="22"/>
        </w:rPr>
        <w:t>To engage in activities requiring a license, a mortgage loan originator must be employed by, under contract with, or an exclusive agent of a licensed company or a company that is exempt from licensing requirements. However, the superintendent may consider an application for mortgage loan originator from a person not currently employed by, under contract with, or an exclusive agent of a licensee. If the superintendent determines that the applicant is otherwise eligible for a mortgage loan originator license, the superintendent shall approve the license in “active-inactive” status or similar status type indicating that the applicant has met the individual requirements for licensure but is not authorized to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19.2(9)</w:t>
      </w:r>
      <w:r>
        <w:rPr>
          <w:rFonts w:ascii="Times New Roman" w:hAnsi="Times New Roman"/>
          <w:b w:val="false"/>
          <w:i w:val="false"/>
          <w:color w:val="000000"/>
          <w:sz w:val="22"/>
        </w:rPr>
        <w:t> </w:t>
      </w:r>
      <w:r>
        <w:rPr>
          <w:rFonts w:ascii="Times New Roman" w:hAnsi="Times New Roman"/>
          <w:b w:val="false"/>
          <w:i w:val="false"/>
          <w:color w:val="000000"/>
          <w:sz w:val="22"/>
        </w:rPr>
        <w:t>A mortgage loan originator license expires on the next December 31 after issuance; however, mortgage loan originator licenses issued on or after November 1 but before January 1 will not expire until December 31 of the following year. For example, a mortgage loan originator license issued on November 17, 2009, would not expire until December 31,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19.2(10)</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completed 20 hours of prelicensure education pursuant to </w:t>
      </w:r>
      <w:r>
        <w:rPr>
          <w:rFonts w:ascii="Times New Roman" w:hAnsi="Times New Roman"/>
          <w:b w:val="false"/>
          <w:i w:val="false"/>
          <w:color w:val="000000"/>
          <w:sz w:val="22"/>
        </w:rPr>
        <w:t>12 U.S.C. 5104(c)</w:t>
      </w:r>
      <w:r>
        <w:rPr>
          <w:rFonts w:ascii="Times New Roman" w:hAnsi="Times New Roman"/>
          <w:b w:val="false"/>
          <w:i w:val="false"/>
          <w:color w:val="000000"/>
          <w:sz w:val="22"/>
        </w:rPr>
        <w:t xml:space="preserve"> must retake 20 hours of prelicensure education in order to be eligible for mortgage loan originator licensure if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Fails to acquire a valid state license or federal registration as a mortgage loan originator within three years from the date of federal compliance with </w:t>
      </w:r>
      <w:r>
        <w:rPr>
          <w:rFonts w:ascii="Times New Roman" w:hAnsi="Times New Roman"/>
          <w:b w:val="false"/>
          <w:i w:val="false"/>
          <w:color w:val="000000"/>
          <w:sz w:val="22"/>
        </w:rPr>
        <w:t>12 U.S.C. 5104(c)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Fails to acquire a valid state license or federal registration as a mortgage loan originator within three years from the last date of licensure or registration as a mortgage loan originator.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187—19.3</w:t>
      </w:r>
      <w:r>
        <w:rPr>
          <w:rFonts w:ascii="Times New Roman" w:hAnsi="Times New Roman"/>
          <w:b/>
          <w:i w:val="false"/>
          <w:color w:val="000000"/>
          <w:sz w:val="22"/>
        </w:rPr>
        <w:t xml:space="preserve">(17A,535D) </w:t>
      </w:r>
      <w:r>
        <w:rPr>
          <w:rFonts w:ascii="Times New Roman" w:hAnsi="Times New Roman"/>
          <w:b/>
          <w:i w:val="false"/>
          <w:color w:val="000000"/>
          <w:sz w:val="22"/>
        </w:rPr>
        <w:t xml:space="preserve">Grounds for denial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deny an application for a mortgage loan originator license if the applicant does not meet the qualifications outlined in Iowa Code section </w:t>
      </w:r>
      <w:hyperlink r:id="rId22">
        <w:r>
          <w:rPr>
            <w:rStyle w:val="Hyperlink"/>
            <w:rFonts w:ascii="Times New Roman" w:hAnsi="Times New Roman"/>
            <w:b w:val="false"/>
            <w:i w:val="false"/>
            <w:color w:val="000000"/>
            <w:sz w:val="22"/>
          </w:rPr>
          <w:t>535D.6</w:t>
        </w:r>
      </w:hyperlink>
      <w:r>
        <w:rPr>
          <w:rFonts w:ascii="Times New Roman" w:hAnsi="Times New Roman"/>
          <w:b w:val="false"/>
          <w:i w:val="false"/>
          <w:color w:val="000000"/>
          <w:sz w:val="22"/>
        </w:rPr>
        <w:t xml:space="preserve">. For the purpose of applying Iowa Code section </w:t>
      </w:r>
      <w:hyperlink r:id="rId23">
        <w:r>
          <w:rPr>
            <w:rStyle w:val="Hyperlink"/>
            <w:rFonts w:ascii="Times New Roman" w:hAnsi="Times New Roman"/>
            <w:b w:val="false"/>
            <w:i w:val="false"/>
            <w:color w:val="000000"/>
            <w:sz w:val="22"/>
          </w:rPr>
          <w:t>535D.6(2)</w:t>
        </w:r>
      </w:hyperlink>
      <w:r>
        <w:rPr>
          <w:rFonts w:ascii="Times New Roman" w:hAnsi="Times New Roman"/>
          <w:b w:val="false"/>
          <w:i w:val="false"/>
          <w:color w:val="000000"/>
          <w:sz w:val="22"/>
        </w:rPr>
        <w:t>, “dishonesty or breach of trust” includes, but is not limited to, forgery, embezzlement, obtaining money under false pretenses, theft, extortion, fraud, conspiracy to defraud, tax evasion, or another similar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deny an application for a mortgage loan originator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state or another state or jurisdiction has denied, suspended, or refused to renew the applicant’s license to act as a mortgage loan originator or has denied, suspended, or refused to renew a similar license or registration under this state’s or the other state’s or jurisdiction’s law. An agreement made between a person and this state or another state or jurisdiction not to operate as a mortgage loan originator shall be considered a denial of that person’s license to act as a mortgage loan originator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barred, removed, or prohibited from serving in any capacity in a financial institution by any state or federal regulatory agency, including but not limited to the Office of Comptroller of the Currency, the Federal Deposit Insurance Corporation (FDIC), the Board of Governors of the Federal Reserve System, or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convicted of forgery, embezzlement, obtaining money under false pretenses, theft, extortion, conspiracy to defraud, tax evasion, or another similar offense, in a court of competent jurisdiction in this state or in any other state, territory or district of the United States, or in any foreign jurisdiction. For the purposes of this paragraph, “convicted of” includes a guilty plea, deferred judgment, deferred sentence, or other similar finding of guilt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had a professional license of any kind revoked in any state or jurisdiction. An agreement to surrender a license and not to operate in an occupation in which a professional license is required shall be considered a revocation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is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made a false statement of material fact on an application for a license or has been otherwise implicated in the submission of a false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demonstrated a lack of moral character in a manner that the superintendent reasonably believes will impair the applicant’s ability to act as a mortgage loan originator in full compliance with the public interest and state policies described in Iowa Code chapters </w:t>
      </w:r>
      <w:hyperlink r:id="rId24">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failed to pay child support and is identified in a certificate of noncompliance from the child support recovery unit of the department of human services according to the procedures in Iowa Code chapter </w:t>
      </w:r>
      <w:hyperlink r:id="rId2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failed to pay state debt and is identified in a certificate of noncompliance from the department of revenue according to the procedures set forth in Iowa Code chapter </w:t>
      </w:r>
      <w:hyperlink r:id="rId2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5091C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187—19.4</w:t>
      </w:r>
      <w:r>
        <w:rPr>
          <w:rFonts w:ascii="Times New Roman" w:hAnsi="Times New Roman"/>
          <w:b/>
          <w:i w:val="false"/>
          <w:color w:val="000000"/>
          <w:sz w:val="22"/>
        </w:rPr>
        <w:t xml:space="preserve">(17A,535D) </w:t>
      </w:r>
      <w:r>
        <w:rPr>
          <w:rFonts w:ascii="Times New Roman" w:hAnsi="Times New Roman"/>
          <w:b/>
          <w:i w:val="false"/>
          <w:color w:val="000000"/>
          <w:sz w:val="22"/>
        </w:rPr>
        <w:t xml:space="preserve">Renewal of mortgage loan originator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val="false"/>
          <w:color w:val="000000"/>
          <w:sz w:val="22"/>
        </w:rPr>
        <w:t>A mortgage loan originator license must be renewed before expiration. An individual who fails to renew a mortgage loan originator license before expiration is not authorized to act as a mortgage loan originator in Iowa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val="false"/>
          <w:color w:val="000000"/>
          <w:sz w:val="22"/>
        </w:rPr>
        <w:t>By December 1 of the year of expiration, a mortgage loan originator license shall be renewed through the NMLS, with all requested information provided as directed by the NMLS, and must be accompanied by a fee of $50. This fee is nonrefundable. This fee is in addition to any fees established and charged by the NMLS, any approved education course provider, any approved education testing provider, any law enforcement agency for fingerprints and background checks, or by any credit reporting agency used by the NMLS. The superintendent may assess a late fee of $5 per day not to exceed $100 for a mortgage loan originator license renewal accepted for processing after December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reject a mortgage loan originator license renewal if the license renewal is not complete or if all required fees, including late fees, are not remitted.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grant an application to renew a mortgage loan originator license if the licensee meets the standards for renewal in Iowa Code section </w:t>
      </w:r>
      <w:hyperlink r:id="rId28">
        <w:r>
          <w:rPr>
            <w:rStyle w:val="Hyperlink"/>
            <w:rFonts w:ascii="Times New Roman" w:hAnsi="Times New Roman"/>
            <w:b w:val="false"/>
            <w:i w:val="false"/>
            <w:color w:val="000000"/>
            <w:sz w:val="22"/>
          </w:rPr>
          <w:t>535D.9</w:t>
        </w:r>
      </w:hyperlink>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superintendent receives the renewal application by December 1, accompanied by the $50 renewal fee, or the superintendent receives the license renewal after December 1 but before January 1 and it is accompanied by the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application is fully completed with all necessary information, including proper disclosure of completion of required continuing education;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renewal application does not reveal grounds to deny the mortgage loan originator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187—19.5</w:t>
      </w:r>
      <w:r>
        <w:rPr>
          <w:rFonts w:ascii="Times New Roman" w:hAnsi="Times New Roman"/>
          <w:b/>
          <w:i w:val="false"/>
          <w:color w:val="000000"/>
          <w:sz w:val="22"/>
        </w:rPr>
        <w:t xml:space="preserve">(17A,535D) </w:t>
      </w:r>
      <w:r>
        <w:rPr>
          <w:rFonts w:ascii="Times New Roman" w:hAnsi="Times New Roman"/>
          <w:b/>
          <w:i w:val="false"/>
          <w:color w:val="000000"/>
          <w:sz w:val="22"/>
        </w:rPr>
        <w:t xml:space="preserve">Reinstatement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val="false"/>
          <w:color w:val="000000"/>
          <w:sz w:val="22"/>
        </w:rPr>
        <w:t>The license of a mortgage loan originator that expires for failure to satisfy the minimum standards for renewal may be reinstated if the licensee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reinstatement is submitted between January 1 and February 28 of the year immediately following the year the license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courses and any other minimum requirements for license renewal for the year in which the license expired are completed prior to submission of the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pays a reinstatement fee of $50, in addition to the renewal fee, and any late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val="false"/>
          <w:color w:val="000000"/>
          <w:sz w:val="22"/>
        </w:rPr>
        <w:t>A mortgage loan originator whose license has expired and who fails to meet the requirements for reinstatement specified in this rule must apply for a new license and meet the requirements in effect at that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187—19.6</w:t>
      </w:r>
      <w:r>
        <w:rPr>
          <w:rFonts w:ascii="Times New Roman" w:hAnsi="Times New Roman"/>
          <w:b/>
          <w:i w:val="false"/>
          <w:color w:val="000000"/>
          <w:sz w:val="22"/>
        </w:rPr>
        <w:t xml:space="preserve">(17A,535D)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superintendent through the NMLS within ten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val="false"/>
          <w:color w:val="000000"/>
          <w:sz w:val="22"/>
        </w:rPr>
        <w:t>The licensee files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institutes license denial, cease and desist, suspension or revocation procedures, or other formal or informal regulatory action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consumer protection laws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val="false"/>
          <w:color w:val="000000"/>
          <w:sz w:val="22"/>
        </w:rPr>
        <w:t>The Federal National Mortgage Association, Federal Home Loan Mortgage Corporation, Federal Housing Administration, or Government National Mortgage Association suspends or terminates the licensee’s status as an approved loan originator.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19.6(6)</w:t>
      </w:r>
      <w:r>
        <w:rPr>
          <w:rFonts w:ascii="Times New Roman" w:hAnsi="Times New Roman"/>
          <w:b w:val="false"/>
          <w:i w:val="false"/>
          <w:color w:val="000000"/>
          <w:sz w:val="22"/>
        </w:rPr>
        <w:t> </w:t>
      </w:r>
      <w:r>
        <w:rPr>
          <w:rFonts w:ascii="Times New Roman" w:hAnsi="Times New Roman"/>
          <w:b w:val="false"/>
          <w:i w:val="false"/>
          <w:color w:val="000000"/>
          <w:sz w:val="22"/>
        </w:rPr>
        <w:t>The licensee ceases engaging in activities requiring a license and wishes to surrender the licensee’s license. Although the licensee has surrendered the licensee’s license, the superintendent retains jurisdiction over the licensee’s activities during the time the individual was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19.6(7)</w:t>
      </w:r>
      <w:r>
        <w:rPr>
          <w:rFonts w:ascii="Times New Roman" w:hAnsi="Times New Roman"/>
          <w:b w:val="false"/>
          <w:i w:val="false"/>
          <w:color w:val="000000"/>
          <w:sz w:val="22"/>
        </w:rPr>
        <w:t> </w:t>
      </w:r>
      <w:r>
        <w:rPr>
          <w:rFonts w:ascii="Times New Roman" w:hAnsi="Times New Roman"/>
          <w:b w:val="false"/>
          <w:i w:val="false"/>
          <w:color w:val="000000"/>
          <w:sz w:val="22"/>
        </w:rPr>
        <w:t>A change is made in the licensee’s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187—19.7</w:t>
      </w:r>
      <w:r>
        <w:rPr>
          <w:rFonts w:ascii="Times New Roman" w:hAnsi="Times New Roman"/>
          <w:b/>
          <w:i w:val="false"/>
          <w:color w:val="000000"/>
          <w:sz w:val="22"/>
        </w:rPr>
        <w:t xml:space="preserve">(17A,535D) </w:t>
      </w:r>
      <w:r>
        <w:rPr>
          <w:rFonts w:ascii="Times New Roman" w:hAnsi="Times New Roman"/>
          <w:b/>
          <w:i w:val="false"/>
          <w:color w:val="000000"/>
          <w:sz w:val="22"/>
        </w:rPr>
        <w:t xml:space="preserve">Annual report. </w:t>
      </w:r>
      <w:r>
        <w:rPr>
          <w:rFonts w:ascii="Times New Roman" w:hAnsi="Times New Roman"/>
          <w:b w:val="false"/>
          <w:i w:val="false"/>
          <w:color w:val="000000"/>
          <w:sz w:val="22"/>
        </w:rPr>
        <w:t xml:space="preserve">On or before March 31 of each year, each mortgage loan originator who as of the preceding December 31 was not employed by or an exclusive agent of a company licensed under Iowa Code chapter </w:t>
      </w:r>
      <w:hyperlink r:id="rId29">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shall file an annual report with the superintendent stating the amount of residential mortgage loans originated, processed, or underwritten, as the case may be, during the preceding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187—19.8</w:t>
      </w:r>
      <w:r>
        <w:rPr>
          <w:rFonts w:ascii="Times New Roman" w:hAnsi="Times New Roman"/>
          <w:b/>
          <w:i w:val="false"/>
          <w:color w:val="000000"/>
          <w:sz w:val="22"/>
        </w:rPr>
        <w:t xml:space="preserve">(17A,535D)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Investigation or examination fees. </w:t>
      </w:r>
      <w:r>
        <w:rPr>
          <w:rFonts w:ascii="Times New Roman" w:hAnsi="Times New Roman"/>
          <w:b w:val="false"/>
          <w:i w:val="false"/>
          <w:color w:val="000000"/>
          <w:sz w:val="22"/>
        </w:rPr>
        <w:t xml:space="preserve">A licensee shall pay an investigation or examination fee as determined by the superintendent based on the actual cost of the operation of the finance bureau of the banking division as described in Iowa Code section </w:t>
      </w:r>
      <w:hyperlink r:id="rId32">
        <w:r>
          <w:rPr>
            <w:rStyle w:val="Hyperlink"/>
            <w:rFonts w:ascii="Times New Roman" w:hAnsi="Times New Roman"/>
            <w:b w:val="false"/>
            <w:i w:val="false"/>
            <w:color w:val="000000"/>
            <w:sz w:val="22"/>
          </w:rPr>
          <w:t>535D.11(2)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Investigation or examination late fees. </w:t>
      </w:r>
      <w:r>
        <w:rPr>
          <w:rFonts w:ascii="Times New Roman" w:hAnsi="Times New Roman"/>
          <w:b w:val="false"/>
          <w:i w:val="false"/>
          <w:color w:val="000000"/>
          <w:sz w:val="22"/>
        </w:rPr>
        <w:t>A licensee shall pay the superintendent the total charge for an investigation or examination within 30 days after the superintendent has requested payment. If a licensee fails to pay an investigation or examination fee by the due date, the superintendent may assess an additional penalty of 5 percent of the amount of the fee for each day after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In the process of administering this chapter,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19.8(4)</w:t>
      </w:r>
      <w:r>
        <w:rPr>
          <w:rFonts w:ascii="Times New Roman" w:hAnsi="Times New Roman"/>
          <w:b w:val="false"/>
          <w:i w:val="false"/>
          <w:color w:val="000000"/>
          <w:sz w:val="22"/>
        </w:rPr>
        <w:t> </w:t>
      </w:r>
      <w:r>
        <w:rPr>
          <w:rFonts w:ascii="Times New Roman" w:hAnsi="Times New Roman"/>
          <w:b w:val="false"/>
          <w:i/>
          <w:color w:val="000000"/>
          <w:sz w:val="22"/>
        </w:rPr>
        <w:t xml:space="preserve">Required annual report. </w:t>
      </w:r>
      <w:r>
        <w:rPr>
          <w:rFonts w:ascii="Times New Roman" w:hAnsi="Times New Roman"/>
          <w:b w:val="false"/>
          <w:i w:val="false"/>
          <w:color w:val="000000"/>
          <w:sz w:val="22"/>
        </w:rPr>
        <w:t xml:space="preserve">A licensee who fails to file with the superintendent the annual report required under rule </w:t>
      </w:r>
      <w:hyperlink r:id="rId33">
        <w:r>
          <w:rPr>
            <w:rStyle w:val="Hyperlink"/>
            <w:rFonts w:ascii="Times New Roman" w:hAnsi="Times New Roman"/>
            <w:b w:val="false"/>
            <w:i w:val="false"/>
            <w:color w:val="000000"/>
            <w:sz w:val="22"/>
          </w:rPr>
          <w:t>187—19.7</w:t>
        </w:r>
      </w:hyperlink>
      <w:r>
        <w:rPr>
          <w:rFonts w:ascii="Times New Roman" w:hAnsi="Times New Roman"/>
          <w:b w:val="false"/>
          <w:i w:val="false"/>
          <w:color w:val="000000"/>
          <w:sz w:val="22"/>
        </w:rPr>
        <w:t>(17A,535D) by March 31 of each year shall be subject to a late penalty of $10 for each day the annual report is delinquent, but in no event shall the aggregate of late penalties exceed $300. The superintendent may relieve any licensee from the payment of any penalty, in whole or in part,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19.8(5)</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In addition to the fees set forth in this chapter, the applicant or licensee shall pay any fee assessed by the NMLS attributed to the licensee’s record in the NMLS, including but not limited to the initial set-up fee, an annual processing fee, and a loan sponsorship transfer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187—19.9</w:t>
      </w:r>
      <w:r>
        <w:rPr>
          <w:rFonts w:ascii="Times New Roman" w:hAnsi="Times New Roman"/>
          <w:b/>
          <w:i w:val="false"/>
          <w:color w:val="000000"/>
          <w:sz w:val="22"/>
        </w:rPr>
        <w:t xml:space="preserve">(17A,535D)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w:t>
      </w:r>
      <w:r>
        <w:rPr>
          <w:rFonts w:ascii="Times New Roman" w:hAnsi="Times New Roman"/>
          <w:b w:val="false"/>
          <w:i w:val="false"/>
          <w:color w:val="000000"/>
          <w:sz w:val="22"/>
        </w:rPr>
        <w:t> </w:t>
      </w:r>
      <w:r>
        <w:rPr>
          <w:rFonts w:ascii="Times New Roman" w:hAnsi="Times New Roman"/>
          <w:b w:val="false"/>
          <w:i w:val="false"/>
          <w:color w:val="000000"/>
          <w:sz w:val="22"/>
        </w:rPr>
        <w:t>A licensee applying to renew a mortgage loan originator license shall, during the license term preceding renewal, complete at least eight hours of continuing education or prelicensing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w:t>
      </w:r>
      <w:r>
        <w:rPr>
          <w:rFonts w:ascii="Times New Roman" w:hAnsi="Times New Roman"/>
          <w:b w:val="false"/>
          <w:i w:val="false"/>
          <w:color w:val="000000"/>
          <w:sz w:val="22"/>
        </w:rPr>
        <w:t> </w:t>
      </w:r>
      <w:r>
        <w:rPr>
          <w:rFonts w:ascii="Times New Roman" w:hAnsi="Times New Roman"/>
          <w:b w:val="false"/>
          <w:i w:val="false"/>
          <w:color w:val="000000"/>
          <w:sz w:val="22"/>
        </w:rPr>
        <w:t>Each continuing education course shall first be approved by the NMLS before the superintendent grants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w:t>
      </w:r>
      <w:r>
        <w:rPr>
          <w:rFonts w:ascii="Times New Roman" w:hAnsi="Times New Roman"/>
          <w:b w:val="false"/>
          <w:i w:val="false"/>
          <w:color w:val="000000"/>
          <w:sz w:val="22"/>
        </w:rPr>
        <w:t> </w:t>
      </w:r>
      <w:r>
        <w:rPr>
          <w:rFonts w:ascii="Times New Roman" w:hAnsi="Times New Roman"/>
          <w:b w:val="false"/>
          <w:i w:val="false"/>
          <w:color w:val="000000"/>
          <w:sz w:val="22"/>
        </w:rPr>
        <w:t>Continuing education courses shall focus on issues of the mortgage business or related industry topics.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19.9(4)</w:t>
      </w:r>
      <w:r>
        <w:rPr>
          <w:rFonts w:ascii="Times New Roman" w:hAnsi="Times New Roman"/>
          <w:b w:val="false"/>
          <w:i w:val="false"/>
          <w:color w:val="000000"/>
          <w:sz w:val="22"/>
        </w:rPr>
        <w:t> </w:t>
      </w:r>
      <w:r>
        <w:rPr>
          <w:rFonts w:ascii="Times New Roman" w:hAnsi="Times New Roman"/>
          <w:b w:val="false"/>
          <w:i w:val="false"/>
          <w:color w:val="000000"/>
          <w:sz w:val="22"/>
        </w:rPr>
        <w:t>The entity providing the continuing education course shall submit to the NMLS evidence of the licensee’s satisfactory completion of approved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shall not be carried forward from one year to the next.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19.9(6)</w:t>
      </w:r>
      <w:r>
        <w:rPr>
          <w:rFonts w:ascii="Times New Roman" w:hAnsi="Times New Roman"/>
          <w:b w:val="false"/>
          <w:i w:val="false"/>
          <w:color w:val="000000"/>
          <w:sz w:val="22"/>
        </w:rPr>
        <w:t> </w:t>
      </w:r>
      <w:r>
        <w:rPr>
          <w:rFonts w:ascii="Times New Roman" w:hAnsi="Times New Roman"/>
          <w:b w:val="false"/>
          <w:i w:val="false"/>
          <w:color w:val="000000"/>
          <w:sz w:val="22"/>
        </w:rPr>
        <w:t>Each mortgage loan originator shall ultimately be responsible for maintaining verification records in the form of completion certificates or other documents providing evidence of satisfactory completion of approved continuing education courses. The mortgage loan originator shall retain documentation for a period of three years after the effective date of the mortgage loan originator license renewal. The superintendent may conduct random audits to verify the continuing education submitted to the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19.9(7)</w:t>
      </w:r>
      <w:r>
        <w:rPr>
          <w:rFonts w:ascii="Times New Roman" w:hAnsi="Times New Roman"/>
          <w:b w:val="false"/>
          <w:i w:val="false"/>
          <w:color w:val="000000"/>
          <w:sz w:val="22"/>
        </w:rPr>
        <w:t> </w:t>
      </w:r>
      <w:r>
        <w:rPr>
          <w:rFonts w:ascii="Times New Roman" w:hAnsi="Times New Roman"/>
          <w:b w:val="false"/>
          <w:i w:val="false"/>
          <w:color w:val="000000"/>
          <w:sz w:val="22"/>
        </w:rPr>
        <w:t>Failure to provide requested evidence of completion of claimed continuing education within 30 days of the written notice from the superintendent shall result in the mortgage loan originator license being placed in inactive status. Prior to the superintendent’s activating a mortgage loan originator license that has been placed on inactive status pursuant to this rule, the mortgage loan originator must submit to the superintendent satisfactory evidence that all required continuing education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19.9(8)</w:t>
      </w:r>
      <w:r>
        <w:rPr>
          <w:rFonts w:ascii="Times New Roman" w:hAnsi="Times New Roman"/>
          <w:b w:val="false"/>
          <w:i w:val="false"/>
          <w:color w:val="000000"/>
          <w:sz w:val="22"/>
        </w:rPr>
        <w:t> </w:t>
      </w:r>
      <w:r>
        <w:rPr>
          <w:rFonts w:ascii="Times New Roman" w:hAnsi="Times New Roman"/>
          <w:b w:val="false"/>
          <w:i w:val="false"/>
          <w:color w:val="000000"/>
          <w:sz w:val="22"/>
        </w:rPr>
        <w:t>The requirement for completion of continuing education may be waived or the deadline for completion may be extended by the superintendent under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mortgage loan originator is called to active duty in the armed forces of the United States for a period of time exceeding 120 consecutive days in any continuing education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mortgage loan originator experiences physical disability, illness, or any extenuating circumstances that prevent successful completion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187—19.10</w:t>
      </w:r>
      <w:r>
        <w:rPr>
          <w:rFonts w:ascii="Times New Roman" w:hAnsi="Times New Roman"/>
          <w:b/>
          <w:i w:val="false"/>
          <w:color w:val="000000"/>
          <w:sz w:val="22"/>
        </w:rPr>
        <w:t xml:space="preserve">(17A,535D) </w:t>
      </w:r>
      <w:r>
        <w:rPr>
          <w:rFonts w:ascii="Times New Roman" w:hAnsi="Times New Roman"/>
          <w:b/>
          <w:i w:val="false"/>
          <w:color w:val="000000"/>
          <w:sz w:val="22"/>
        </w:rPr>
        <w:t xml:space="preserve">Independent contractor—loan processor or underwriter.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Iowa Code section </w:t>
      </w:r>
      <w:hyperlink r:id="rId34">
        <w:r>
          <w:rPr>
            <w:rStyle w:val="Hyperlink"/>
            <w:rFonts w:ascii="Times New Roman" w:hAnsi="Times New Roman"/>
            <w:b w:val="false"/>
            <w:i w:val="false"/>
            <w:color w:val="000000"/>
            <w:sz w:val="22"/>
          </w:rPr>
          <w:t>535D.4</w:t>
        </w:r>
      </w:hyperlink>
      <w:r>
        <w:rPr>
          <w:rFonts w:ascii="Times New Roman" w:hAnsi="Times New Roman"/>
          <w:b w:val="false"/>
          <w:i w:val="false"/>
          <w:color w:val="000000"/>
          <w:sz w:val="22"/>
        </w:rPr>
        <w:t xml:space="preserve">, “a loan processor or underwriter who is an independent contractor” means any person who processes or underwrites residential mortgage loans and is not a W-2 employee of a company licensed under Iowa Code chapter </w:t>
      </w:r>
      <w:hyperlink r:id="rId3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independent contractor must meet all the licensure requirements found in rule </w:t>
      </w:r>
      <w:hyperlink r:id="rId38">
        <w:r>
          <w:rPr>
            <w:rStyle w:val="Hyperlink"/>
            <w:rFonts w:ascii="Times New Roman" w:hAnsi="Times New Roman"/>
            <w:b w:val="false"/>
            <w:i w:val="false"/>
            <w:color w:val="000000"/>
            <w:sz w:val="22"/>
          </w:rPr>
          <w:t>187—19.2</w:t>
        </w:r>
      </w:hyperlink>
      <w:r>
        <w:rPr>
          <w:rFonts w:ascii="Times New Roman" w:hAnsi="Times New Roman"/>
          <w:b w:val="false"/>
          <w:i w:val="false"/>
          <w:color w:val="000000"/>
          <w:sz w:val="22"/>
        </w:rPr>
        <w:t xml:space="preserve">(17A,535D) with the exception of subrule </w:t>
      </w:r>
      <w:hyperlink r:id="rId39">
        <w:r>
          <w:rPr>
            <w:rStyle w:val="Hyperlink"/>
            <w:rFonts w:ascii="Times New Roman" w:hAnsi="Times New Roman"/>
            <w:b w:val="false"/>
            <w:i w:val="false"/>
            <w:color w:val="000000"/>
            <w:sz w:val="22"/>
          </w:rPr>
          <w:t>19.2(8)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independent contractor must meet the surety bond requirements found in subrule </w:t>
      </w:r>
      <w:hyperlink r:id="rId40">
        <w:r>
          <w:rPr>
            <w:rStyle w:val="Hyperlink"/>
            <w:rFonts w:ascii="Times New Roman" w:hAnsi="Times New Roman"/>
            <w:b w:val="false"/>
            <w:i w:val="false"/>
            <w:color w:val="000000"/>
            <w:sz w:val="22"/>
          </w:rPr>
          <w:t>19.2(7)</w:t>
        </w:r>
      </w:hyperlink>
      <w:r>
        <w:rPr>
          <w:rFonts w:ascii="Times New Roman" w:hAnsi="Times New Roman"/>
          <w:b w:val="false"/>
          <w:i w:val="false"/>
          <w:color w:val="000000"/>
          <w:sz w:val="22"/>
        </w:rPr>
        <w:t xml:space="preserve"> prior to the issuance of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187—19.11</w:t>
      </w:r>
      <w:r>
        <w:rPr>
          <w:rFonts w:ascii="Times New Roman" w:hAnsi="Times New Roman"/>
          <w:b/>
          <w:i w:val="false"/>
          <w:color w:val="000000"/>
          <w:sz w:val="22"/>
        </w:rPr>
        <w:t xml:space="preserve">(17A,535D) </w:t>
      </w:r>
      <w:r>
        <w:rPr>
          <w:rFonts w:ascii="Times New Roman" w:hAnsi="Times New Roman"/>
          <w:b/>
          <w:i w:val="false"/>
          <w:color w:val="000000"/>
          <w:sz w:val="22"/>
        </w:rPr>
        <w:t xml:space="preserve">NMLS information challenge process. </w:t>
      </w:r>
      <w:r>
        <w:rPr>
          <w:rFonts w:ascii="Times New Roman" w:hAnsi="Times New Roman"/>
          <w:b w:val="false"/>
          <w:i w:val="false"/>
          <w:color w:val="000000"/>
          <w:sz w:val="22"/>
        </w:rPr>
        <w:t>A mortgage loan originator may challenge information entered into the NMLS by the superintendent by filing a dispute with the superintendent outlining the grounds for the dispute. The grounds for the dispute shall be limited to a review of the factual accuracy of the information regarding the mortgage loan originator’s own license record submitted to the NMLS by the superintendent. A mortgage loan originator may not file a dispute in order to protest a disciplinary action taken by the superintendent or to appeal the underlying reasons for the disciplinary action. The superintendent shall conduct a paper review of the dispute and determine whether the information submitted to the NMLS was factually correct. The superintendent shall notify the mortgage loan originator of the determination within 60 days of the receipt of the dispute. If the superintendent determines the information submitted to the NMLS is factually incorrect, the superintendent shall take prompt steps to correct the information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187—19.12</w:t>
      </w:r>
      <w:r>
        <w:rPr>
          <w:rFonts w:ascii="Times New Roman" w:hAnsi="Times New Roman"/>
          <w:b/>
          <w:i w:val="false"/>
          <w:color w:val="000000"/>
          <w:sz w:val="22"/>
        </w:rPr>
        <w:t xml:space="preserve">(17A,535D)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has authority, pursuant to Iowa Code chapters </w:t>
      </w:r>
      <w:hyperlink r:id="rId41">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impose discipline for violations of Iowa Code chapter </w:t>
      </w:r>
      <w:hyperlink r:id="rId43">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 xml:space="preserve"> and the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44">
        <w:r>
          <w:rPr>
            <w:rStyle w:val="Hyperlink"/>
            <w:rFonts w:ascii="Times New Roman" w:hAnsi="Times New Roman"/>
            <w:b w:val="false"/>
            <w:i w:val="false"/>
            <w:color w:val="000000"/>
            <w:sz w:val="22"/>
          </w:rPr>
          <w:t>535D.13</w:t>
        </w:r>
      </w:hyperlink>
      <w:r>
        <w:rPr>
          <w:rFonts w:ascii="Times New Roman" w:hAnsi="Times New Roman"/>
          <w:b w:val="false"/>
          <w:i w:val="false"/>
          <w:color w:val="000000"/>
          <w:sz w:val="22"/>
        </w:rPr>
        <w:t xml:space="preserve"> when the superintendent finds any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violated a provision of Iowa Code chapter </w:t>
      </w:r>
      <w:hyperlink r:id="rId45">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 xml:space="preserve"> or a rule adopted thereunder or any other state or federal law applicable to the conduct of mortgage loan originators, including but not limited to Iowa Code chapters </w:t>
      </w:r>
      <w:hyperlink r:id="rId46">
        <w:r>
          <w:rPr>
            <w:rStyle w:val="Hyperlink"/>
            <w:rFonts w:ascii="Times New Roman" w:hAnsi="Times New Roman"/>
            <w:b w:val="false"/>
            <w:i w:val="false"/>
            <w:color w:val="000000"/>
            <w:sz w:val="22"/>
          </w:rPr>
          <w:t>535</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535A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fact or condition exists which, had it existed at the time of the original application for the license, would have warranted the superintendent to refuse to issue the original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at any time to meet the requirements of Iowa Code section </w:t>
      </w:r>
      <w:hyperlink r:id="rId48">
        <w:r>
          <w:rPr>
            <w:rStyle w:val="Hyperlink"/>
            <w:rFonts w:ascii="Times New Roman" w:hAnsi="Times New Roman"/>
            <w:b w:val="false"/>
            <w:i w:val="false"/>
            <w:color w:val="000000"/>
            <w:sz w:val="22"/>
          </w:rPr>
          <w:t>535D.6</w:t>
        </w:r>
      </w:hyperlink>
      <w:r>
        <w:rPr>
          <w:rFonts w:ascii="Times New Roman" w:hAnsi="Times New Roman"/>
          <w:b w:val="false"/>
          <w:i w:val="false"/>
          <w:color w:val="000000"/>
          <w:sz w:val="22"/>
        </w:rPr>
        <w:t xml:space="preserve"> or </w:t>
      </w:r>
      <w:hyperlink r:id="rId49">
        <w:r>
          <w:rPr>
            <w:rStyle w:val="Hyperlink"/>
            <w:rFonts w:ascii="Times New Roman" w:hAnsi="Times New Roman"/>
            <w:b w:val="false"/>
            <w:i w:val="false"/>
            <w:color w:val="000000"/>
            <w:sz w:val="22"/>
          </w:rPr>
          <w:t>535D.9</w:t>
        </w:r>
      </w:hyperlink>
      <w:r>
        <w:rPr>
          <w:rFonts w:ascii="Times New Roman" w:hAnsi="Times New Roman"/>
          <w:b w:val="false"/>
          <w:i w:val="false"/>
          <w:color w:val="000000"/>
          <w:sz w:val="22"/>
        </w:rPr>
        <w:t xml:space="preserve"> or withholds information or makes a material misstatement in an application for a license or the renewal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has violated an order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fails to fully cooperate with an examination or investigation, including failure to respond to a superintendent inquiry within 30 days of the date of mailing a written communication directed to the licensee’s last-known address on file with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has engaged in any conduct that subverts or attempts to subvert an examination or investigation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licensee continues to operate as a mortgage loan originator without an active and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licensee continues to act as a mortgage loan originator without first satisfying the required continuing education, absent an express waiver granted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licensee has submitted a false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notify the superintendent within ten days of the occurrence of one of the significant events set forth in rule </w:t>
      </w:r>
      <w:hyperlink r:id="rId50">
        <w:r>
          <w:rPr>
            <w:rStyle w:val="Hyperlink"/>
            <w:rFonts w:ascii="Times New Roman" w:hAnsi="Times New Roman"/>
            <w:b w:val="false"/>
            <w:i w:val="false"/>
            <w:color w:val="000000"/>
            <w:sz w:val="22"/>
          </w:rPr>
          <w:t>187—19.6</w:t>
        </w:r>
      </w:hyperlink>
      <w:r>
        <w:rPr>
          <w:rFonts w:ascii="Times New Roman" w:hAnsi="Times New Roman"/>
          <w:b w:val="false"/>
          <w:i w:val="false"/>
          <w:color w:val="000000"/>
          <w:sz w:val="22"/>
        </w:rPr>
        <w:t>(17A,535D).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act as a mortgage loan originator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licensee fails to create and maintain complete and accurate records as required by state or federal law, regulation,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19.12(3)</w:t>
      </w:r>
      <w:r>
        <w:rPr>
          <w:rFonts w:ascii="Times New Roman" w:hAnsi="Times New Roman"/>
          <w:b w:val="false"/>
          <w:i w:val="false"/>
          <w:color w:val="000000"/>
          <w:sz w:val="22"/>
        </w:rPr>
        <w:t> </w:t>
      </w:r>
      <w:r>
        <w:rPr>
          <w:rFonts w:ascii="Times New Roman" w:hAnsi="Times New Roman"/>
          <w:b w:val="false"/>
          <w:i w:val="false"/>
          <w:color w:val="000000"/>
          <w:sz w:val="22"/>
        </w:rPr>
        <w:t>A licensee may surrender a license by delivering to the superintendent a written notice of surrender.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 xml:space="preserve">; </w:t>
      </w:r>
      <w:r>
        <w:rPr>
          <w:rFonts w:ascii="Times New Roman" w:hAnsi="Times New Roman"/>
          <w:b/>
          <w:i w:val="false"/>
          <w:color w:val="000000"/>
          <w:sz w:val="16"/>
        </w:rPr>
        <w:t>ARC 3081C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51">
        <w:r>
          <w:rPr>
            <w:rStyle w:val="Hyperlink"/>
            <w:rFonts w:ascii="Times New Roman" w:hAnsi="Times New Roman"/>
            <w:b w:val="false"/>
            <w:i w:val="false"/>
            <w:color w:val="000000"/>
            <w:sz w:val="22"/>
          </w:rPr>
          <w:t>187—19.1</w:t>
        </w:r>
      </w:hyperlink>
      <w:r>
        <w:rPr>
          <w:rFonts w:ascii="Times New Roman" w:hAnsi="Times New Roman"/>
          <w:b w:val="false"/>
          <w:i w:val="false"/>
          <w:color w:val="000000"/>
          <w:sz w:val="22"/>
        </w:rPr>
        <w:t xml:space="preserve">(17A,535D) to </w:t>
      </w:r>
      <w:hyperlink r:id="rId52">
        <w:r>
          <w:rPr>
            <w:rStyle w:val="Hyperlink"/>
            <w:rFonts w:ascii="Times New Roman" w:hAnsi="Times New Roman"/>
            <w:b w:val="false"/>
            <w:i w:val="false"/>
            <w:color w:val="000000"/>
            <w:sz w:val="22"/>
          </w:rPr>
          <w:t>187—19.12</w:t>
        </w:r>
      </w:hyperlink>
      <w:r>
        <w:rPr>
          <w:rFonts w:ascii="Times New Roman" w:hAnsi="Times New Roman"/>
          <w:b w:val="false"/>
          <w:i w:val="false"/>
          <w:color w:val="000000"/>
          <w:sz w:val="22"/>
        </w:rPr>
        <w:t xml:space="preserve">(17A,535D) are intended to implement Iowa Code chapters </w:t>
      </w:r>
      <w:hyperlink r:id="rId5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187—19.13</w:t>
      </w:r>
      <w:r>
        <w:rPr>
          <w:rFonts w:ascii="Times New Roman" w:hAnsi="Times New Roman"/>
          <w:b/>
          <w:i w:val="false"/>
          <w:color w:val="000000"/>
          <w:sz w:val="22"/>
        </w:rPr>
        <w:t xml:space="preserve">(17A,252J) </w:t>
      </w:r>
      <w:r>
        <w:rPr>
          <w:rFonts w:ascii="Times New Roman" w:hAnsi="Times New Roman"/>
          <w:b/>
          <w:i w:val="false"/>
          <w:color w:val="000000"/>
          <w:sz w:val="22"/>
        </w:rPr>
        <w:t xml:space="preserve">Nonpayment of child support. </w:t>
      </w:r>
      <w:r>
        <w:rPr>
          <w:rFonts w:ascii="Times New Roman" w:hAnsi="Times New Roman"/>
          <w:b w:val="false"/>
          <w:i w:val="false"/>
          <w:color w:val="000000"/>
          <w:sz w:val="22"/>
        </w:rPr>
        <w:t xml:space="preserve">The superintendent shall deny the issuance or renewal of a mortgage loan originator license upon the receipt of a certificate of noncompliance from the child support recovery unit of the department of human services according to the procedures in Iowa Code chapter </w:t>
      </w:r>
      <w:hyperlink r:id="rId5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5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this rule shall apply.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5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mortgage loan originator or applicant by restricted certified mail, return receipt requested, or personal service in accordance with Iowa Rule of Civil Procedure 1.305. Alternatively, the mortgage loan originator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the issuance or renewal of a mortgage loan originator license, as specified in the notice required by Iowa Code section </w:t>
      </w:r>
      <w:hyperlink r:id="rId5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mortgage loan originator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is authorized to prepare and serve the notice required by Iowa Code section </w:t>
      </w:r>
      <w:hyperlink r:id="rId5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upon the mortgage loan originator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19.13(4)</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loan originators and applicants shall keep the superintendent informed of all court actions and all child support recovery unit actions taken under or in connection with Iowa Code chapter </w:t>
      </w:r>
      <w:hyperlink r:id="rId6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superintendent copies, within seven days of filing or issuance, of all applications filed with the district court pursuant to Iowa Code section </w:t>
      </w:r>
      <w:hyperlink r:id="rId6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19.13(5)</w:t>
      </w:r>
      <w:r>
        <w:rPr>
          <w:rFonts w:ascii="Times New Roman" w:hAnsi="Times New Roman"/>
          <w:b w:val="false"/>
          <w:i w:val="false"/>
          <w:color w:val="000000"/>
          <w:sz w:val="22"/>
        </w:rPr>
        <w:t> </w:t>
      </w:r>
      <w:r>
        <w:rPr>
          <w:rFonts w:ascii="Times New Roman" w:hAnsi="Times New Roman"/>
          <w:b w:val="false"/>
          <w:i w:val="false"/>
          <w:color w:val="000000"/>
          <w:sz w:val="22"/>
        </w:rPr>
        <w:t xml:space="preserve">All superintendent fees for application or license renewal or reinstatement must be paid by mortgage loan originators or applicants, and all continuing education requirements must be met before a mortgage loan originator license will be issued, renewed or reinstated after the superintendent has denied the issuance or renewal of a mortgage loan originator license pursuant to Iowa Code chapter </w:t>
      </w:r>
      <w:hyperlink r:id="rId6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applicant or a mortgage loan originator timely files a district court action following service of a superintendent notice pursuant to Iowa Code sections </w:t>
      </w:r>
      <w:hyperlink r:id="rId6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superintendent shall continue with the intended action described in the notice upon the receipt of a court order lifting the stay, dismissing the action, or otherwise directing the superintendent to proceed. For purposes of determining the effective date of the denial of the issuance or renewal of a mortgage loan originator license, the superintendent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19.13(7)</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notify the mortgage loan originator or applicant in writing through regular first-class mail, or such other means as the superintendent deems appropriate in the circumstances, within ten days of the effective date of the denial of the issuance or renewal of a mortgage loan originator license, and shall similarly notify the mortgage loan originator or applicant when the license is issued or renewed following the superintendent’s receipt of a withdrawal of the certificate of noncompliance.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187—19.14</w:t>
      </w:r>
      <w:r>
        <w:rPr>
          <w:rFonts w:ascii="Times New Roman" w:hAnsi="Times New Roman"/>
          <w:b/>
          <w:i w:val="false"/>
          <w:color w:val="000000"/>
          <w:sz w:val="22"/>
        </w:rPr>
        <w:t xml:space="preserve">(17A,261) </w:t>
      </w:r>
      <w:r>
        <w:rPr>
          <w:rFonts w:ascii="Times New Roman" w:hAnsi="Times New Roman"/>
          <w:b/>
          <w:i w:val="false"/>
          <w:color w:val="000000"/>
          <w:sz w:val="22"/>
        </w:rPr>
        <w:t xml:space="preserve">Nonpayment of student loan.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5091C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7/15/20</w:t>
      </w:r>
      <w:r>
        <w:rPr>
          <w:rFonts w:ascii="Times New Roman" w:hAnsi="Times New Roman"/>
          <w:b w:val="false"/>
          <w:i w:val="false"/>
          <w:color w:val="000000"/>
          <w:sz w:val="22"/>
        </w:rPr>
        <w:t>, effective 8/19/20.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187—19.15</w:t>
      </w:r>
      <w:r>
        <w:rPr>
          <w:rFonts w:ascii="Times New Roman" w:hAnsi="Times New Roman"/>
          <w:b/>
          <w:i w:val="false"/>
          <w:color w:val="000000"/>
          <w:sz w:val="22"/>
        </w:rPr>
        <w:t xml:space="preserve">(17A,272D) </w:t>
      </w:r>
      <w:r>
        <w:rPr>
          <w:rFonts w:ascii="Times New Roman" w:hAnsi="Times New Roman"/>
          <w:b/>
          <w:i w:val="false"/>
          <w:color w:val="000000"/>
          <w:sz w:val="22"/>
        </w:rPr>
        <w:t xml:space="preserve">Nonpayment of state debt. </w:t>
      </w:r>
      <w:r>
        <w:rPr>
          <w:rFonts w:ascii="Times New Roman" w:hAnsi="Times New Roman"/>
          <w:b w:val="false"/>
          <w:i w:val="false"/>
          <w:color w:val="000000"/>
          <w:sz w:val="22"/>
        </w:rPr>
        <w:t xml:space="preserve">The superintendent shall deny the issuance or renewal of a mortgage loan originator license upon the receipt of a certificate of noncompliance from the centralized collection unit of the department of revenue according to the procedures in Iowa Code chapter </w:t>
      </w:r>
      <w:hyperlink r:id="rId6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set forth in Iowa Code chapter </w:t>
      </w:r>
      <w:hyperlink r:id="rId6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69">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shall be served on the mortgage loan originator or applicant by restricted certified mail, return receipt requested, or personal service in accordance with the Iowa Rules of Civil Procedure. Alternatively, the mortgage loan originator or applicant may accept service personally or through authorized counsel.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issuance or renewal of a license, as specified in the notice required by Iowa Code section </w:t>
      </w:r>
      <w:hyperlink r:id="rId70">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mortgage loan originator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is authorized to prepare and serve the notice required by Iowa Code section </w:t>
      </w:r>
      <w:hyperlink r:id="rId71">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upon the mortgage loan originator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19.15(4)</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loan originators and applicants shall keep the superintendent informed of all court actions and all centralized collection unit actions taken under or in connection with Iowa Code chapter </w:t>
      </w:r>
      <w:hyperlink r:id="rId7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shall provide the superintendent copies, within seven days of filing or issuance, of all applications filed with the district court pursuant to Iowa Code section </w:t>
      </w:r>
      <w:hyperlink r:id="rId73">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withdrawals of certificates of noncompliance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19.15(5)</w:t>
      </w:r>
      <w:r>
        <w:rPr>
          <w:rFonts w:ascii="Times New Roman" w:hAnsi="Times New Roman"/>
          <w:b w:val="false"/>
          <w:i w:val="false"/>
          <w:color w:val="000000"/>
          <w:sz w:val="22"/>
        </w:rPr>
        <w:t> </w:t>
      </w:r>
      <w:r>
        <w:rPr>
          <w:rFonts w:ascii="Times New Roman" w:hAnsi="Times New Roman"/>
          <w:b w:val="false"/>
          <w:i w:val="false"/>
          <w:color w:val="000000"/>
          <w:sz w:val="22"/>
        </w:rPr>
        <w:t xml:space="preserve">All fees for applications, license renewals or reinstatements must be paid by mortgage loan originators or applicants, and all continuing education requirements must be met before a mortgage loan originator license will be issued, renewed or reinstated after the superintendent has denied the issuance or renewal of a mortgage loan originator license pursuant to Iowa Code chapter </w:t>
      </w:r>
      <w:hyperlink r:id="rId7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8239B</w:t>
      </w:r>
      <w:r>
        <w:rPr>
          <w:rFonts w:ascii="Times New Roman" w:hAnsi="Times New Roman"/>
          <w:b w:val="false"/>
          <w:i w:val="false"/>
          <w:color w:val="000000"/>
          <w:sz w:val="16"/>
        </w:rPr>
        <w:t>, IAB 10/21/09, effective 11/25/09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8239B</w:t>
      </w:r>
      <w:r>
        <w:rPr>
          <w:rFonts w:ascii="Times New Roman" w:hAnsi="Times New Roman"/>
          <w:b w:val="false"/>
          <w:i w:val="false"/>
          <w:color w:val="000000"/>
          <w:sz w:val="21"/>
        </w:rPr>
        <w:t xml:space="preserve"> (Notice ARC 8065B, IAB 8/26/09)</w:t>
      </w:r>
      <w:r>
        <w:rPr>
          <w:rFonts w:ascii="Times New Roman" w:hAnsi="Times New Roman"/>
          <w:b w:val="false"/>
          <w:i w:val="false"/>
          <w:color w:val="000000"/>
          <w:sz w:val="21"/>
        </w:rPr>
        <w:t>, IAB 10/21/09, effective 11/25/09]</w:t>
      </w:r>
    </w:p>
    <w:p>
      <w:pPr>
        <w:spacing w:before="0" w:after="0"/>
        <w:ind w:left="120"/>
        <w:jc w:val="center"/>
      </w:pPr>
      <w:r>
        <w:rPr>
          <w:rFonts w:ascii="Times New Roman" w:hAnsi="Times New Roman"/>
          <w:b w:val="false"/>
          <w:i w:val="false"/>
          <w:color w:val="000000"/>
          <w:sz w:val="21"/>
        </w:rPr>
        <w:t>[Filed ARC 3081C</w:t>
      </w:r>
      <w:r>
        <w:rPr>
          <w:rFonts w:ascii="Times New Roman" w:hAnsi="Times New Roman"/>
          <w:b w:val="false"/>
          <w:i w:val="false"/>
          <w:color w:val="000000"/>
          <w:sz w:val="21"/>
        </w:rPr>
        <w:t xml:space="preserve"> (Notice ARC 2991C, IAB 3/29/17)</w:t>
      </w:r>
      <w:r>
        <w:rPr>
          <w:rFonts w:ascii="Times New Roman" w:hAnsi="Times New Roman"/>
          <w:b w:val="false"/>
          <w:i w:val="false"/>
          <w:color w:val="000000"/>
          <w:sz w:val="21"/>
        </w:rPr>
        <w:t>, IAB 5/24/17, effective 7/1/17]</w:t>
      </w:r>
    </w:p>
    <w:p>
      <w:pPr>
        <w:spacing w:before="0" w:after="0"/>
        <w:ind w:left="120"/>
        <w:jc w:val="center"/>
      </w:pPr>
      <w:r>
        <w:rPr>
          <w:rFonts w:ascii="Times New Roman" w:hAnsi="Times New Roman"/>
          <w:b w:val="false"/>
          <w:i w:val="false"/>
          <w:color w:val="000000"/>
          <w:sz w:val="21"/>
        </w:rPr>
        <w:t>[Filed ARC 5091C</w:t>
      </w:r>
      <w:r>
        <w:rPr>
          <w:rFonts w:ascii="Times New Roman" w:hAnsi="Times New Roman"/>
          <w:b w:val="false"/>
          <w:i w:val="false"/>
          <w:color w:val="000000"/>
          <w:sz w:val="21"/>
        </w:rPr>
        <w:t xml:space="preserve"> (Notice ARC 4941C, IAB 2/26/20)</w:t>
      </w:r>
      <w:r>
        <w:rPr>
          <w:rFonts w:ascii="Times New Roman" w:hAnsi="Times New Roman"/>
          <w:b w:val="false"/>
          <w:i w:val="false"/>
          <w:color w:val="000000"/>
          <w:sz w:val="21"/>
        </w:rPr>
        <w:t>, IAB 7/15/20, effective 8/19/20]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5D.3.pdf" Type="http://schemas.openxmlformats.org/officeDocument/2006/relationships/hyperlink" Id="rId5"/>
    <Relationship TargetMode="External" Target="https://www.legis.iowa.gov/docs/ico/chapter/535D.pdf" Type="http://schemas.openxmlformats.org/officeDocument/2006/relationships/hyperlink" Id="rId6"/>
    <Relationship TargetMode="External" Target="https://www.legis.iowa.gov/docs/ico/chapter/535D.4.pdf" Type="http://schemas.openxmlformats.org/officeDocument/2006/relationships/hyperlink" Id="rId7"/>
    <Relationship TargetMode="External" Target="https://www.legis.iowa.gov/docs/ico/chapter/535D.8.pdf" Type="http://schemas.openxmlformats.org/officeDocument/2006/relationships/hyperlink" Id="rId8"/>
    <Relationship TargetMode="External" Target="https://www.legis.iowa.gov/docs/ico/chapter/524.201.pdf" Type="http://schemas.openxmlformats.org/officeDocument/2006/relationships/hyperlink" Id="rId9"/>
    <Relationship TargetMode="External" Target="https://www.legis.iowa.gov/docs/ico/chapter/535D.3.pdf" Type="http://schemas.openxmlformats.org/officeDocument/2006/relationships/hyperlink" Id="rId10"/>
    <Relationship TargetMode="External" Target="https://www.legis.iowa.gov/docs/ico/chapter/535D.4.pdf" Type="http://schemas.openxmlformats.org/officeDocument/2006/relationships/hyperlink" Id="rId11"/>
    <Relationship TargetMode="External" Target="https://www.legis.iowa.gov/docs/ico/chapter/535D.7.pdf" Type="http://schemas.openxmlformats.org/officeDocument/2006/relationships/hyperlink" Id="rId12"/>
    <Relationship TargetMode="External" Target="https://www.legis.iowa.gov/docs/ico/chapter/535B.pdf" Type="http://schemas.openxmlformats.org/officeDocument/2006/relationships/hyperlink" Id="rId13"/>
    <Relationship TargetMode="External" Target="https://www.legis.iowa.gov/docs/ico/chapter/535B.pdf" Type="http://schemas.openxmlformats.org/officeDocument/2006/relationships/hyperlink" Id="rId14"/>
    <Relationship TargetMode="External" Target="https://www.legis.iowa.gov/docs/ico/chapter/536.pdf" Type="http://schemas.openxmlformats.org/officeDocument/2006/relationships/hyperlink" Id="rId15"/>
    <Relationship TargetMode="External" Target="https://www.legis.iowa.gov/docs/ico/chapter/536A.pdf" Type="http://schemas.openxmlformats.org/officeDocument/2006/relationships/hyperlink" Id="rId16"/>
    <Relationship TargetMode="External" Target="https://www.legis.iowa.gov/docs/iac/rule/187.19.2.pdf" Type="http://schemas.openxmlformats.org/officeDocument/2006/relationships/hyperlink" Id="rId17"/>
    <Relationship TargetMode="External" Target="https://www.legis.iowa.gov/docs/iac/rule/187.19.2.pdf" Type="http://schemas.openxmlformats.org/officeDocument/2006/relationships/hyperlink" Id="rId18"/>
    <Relationship TargetMode="External" Target="https://www.legis.iowa.gov/docs/ico/chapter/535B.pdf" Type="http://schemas.openxmlformats.org/officeDocument/2006/relationships/hyperlink" Id="rId19"/>
    <Relationship TargetMode="External" Target="https://www.legis.iowa.gov/docs/ico/chapter/536.pdf" Type="http://schemas.openxmlformats.org/officeDocument/2006/relationships/hyperlink" Id="rId20"/>
    <Relationship TargetMode="External" Target="https://www.legis.iowa.gov/docs/ico/chapter/536A.pdf" Type="http://schemas.openxmlformats.org/officeDocument/2006/relationships/hyperlink" Id="rId21"/>
    <Relationship TargetMode="External" Target="https://www.legis.iowa.gov/docs/ico/chapter/535D.6.pdf" Type="http://schemas.openxmlformats.org/officeDocument/2006/relationships/hyperlink" Id="rId22"/>
    <Relationship TargetMode="External" Target="https://www.legis.iowa.gov/docs/ico/chapter/535D.6.pdf" Type="http://schemas.openxmlformats.org/officeDocument/2006/relationships/hyperlink" Id="rId23"/>
    <Relationship TargetMode="External" Target="https://www.legis.iowa.gov/docs/ico/chapter/535B.pdf" Type="http://schemas.openxmlformats.org/officeDocument/2006/relationships/hyperlink" Id="rId24"/>
    <Relationship TargetMode="External" Target="https://www.legis.iowa.gov/docs/ico/chapter/535D.pdf" Type="http://schemas.openxmlformats.org/officeDocument/2006/relationships/hyperlink" Id="rId25"/>
    <Relationship TargetMode="External" Target="https://www.legis.iowa.gov/docs/ico/chapter/252J.pdf" Type="http://schemas.openxmlformats.org/officeDocument/2006/relationships/hyperlink" Id="rId26"/>
    <Relationship TargetMode="External" Target="https://www.legis.iowa.gov/docs/ico/chapter/272D.pdf" Type="http://schemas.openxmlformats.org/officeDocument/2006/relationships/hyperlink" Id="rId27"/>
    <Relationship TargetMode="External" Target="https://www.legis.iowa.gov/docs/ico/chapter/535D.9.pdf" Type="http://schemas.openxmlformats.org/officeDocument/2006/relationships/hyperlink" Id="rId28"/>
    <Relationship TargetMode="External" Target="https://www.legis.iowa.gov/docs/ico/chapter/535B.pdf" Type="http://schemas.openxmlformats.org/officeDocument/2006/relationships/hyperlink" Id="rId29"/>
    <Relationship TargetMode="External" Target="https://www.legis.iowa.gov/docs/ico/chapter/536.pdf" Type="http://schemas.openxmlformats.org/officeDocument/2006/relationships/hyperlink" Id="rId30"/>
    <Relationship TargetMode="External" Target="https://www.legis.iowa.gov/docs/ico/chapter/536A.pdf" Type="http://schemas.openxmlformats.org/officeDocument/2006/relationships/hyperlink" Id="rId31"/>
    <Relationship TargetMode="External" Target="https://www.legis.iowa.gov/docs/ico/chapter/535D.11.pdf" Type="http://schemas.openxmlformats.org/officeDocument/2006/relationships/hyperlink" Id="rId32"/>
    <Relationship TargetMode="External" Target="https://www.legis.iowa.gov/docs/iac/rule/187.19.7.pdf" Type="http://schemas.openxmlformats.org/officeDocument/2006/relationships/hyperlink" Id="rId33"/>
    <Relationship TargetMode="External" Target="https://www.legis.iowa.gov/docs/ico/chapter/535D.4.pdf" Type="http://schemas.openxmlformats.org/officeDocument/2006/relationships/hyperlink" Id="rId34"/>
    <Relationship TargetMode="External" Target="https://www.legis.iowa.gov/docs/ico/chapter/535B.pdf" Type="http://schemas.openxmlformats.org/officeDocument/2006/relationships/hyperlink" Id="rId35"/>
    <Relationship TargetMode="External" Target="https://www.legis.iowa.gov/docs/ico/chapter/536.pdf" Type="http://schemas.openxmlformats.org/officeDocument/2006/relationships/hyperlink" Id="rId36"/>
    <Relationship TargetMode="External" Target="https://www.legis.iowa.gov/docs/ico/chapter/536A.pdf" Type="http://schemas.openxmlformats.org/officeDocument/2006/relationships/hyperlink" Id="rId37"/>
    <Relationship TargetMode="External" Target="https://www.legis.iowa.gov/docs/iac/rule/187.19.2.pdf" Type="http://schemas.openxmlformats.org/officeDocument/2006/relationships/hyperlink" Id="rId38"/>
    <Relationship TargetMode="External" Target="https://www.legis.iowa.gov/docs/iac/rule/187.19.2.pdf" Type="http://schemas.openxmlformats.org/officeDocument/2006/relationships/hyperlink" Id="rId39"/>
    <Relationship TargetMode="External" Target="https://www.legis.iowa.gov/docs/iac/rule/187.19.2.pdf" Type="http://schemas.openxmlformats.org/officeDocument/2006/relationships/hyperlink" Id="rId40"/>
    <Relationship TargetMode="External" Target="https://www.legis.iowa.gov/docs/ico/chapter/535D.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co/chapter/535D.pdf" Type="http://schemas.openxmlformats.org/officeDocument/2006/relationships/hyperlink" Id="rId43"/>
    <Relationship TargetMode="External" Target="https://www.legis.iowa.gov/docs/ico/chapter/535D.13.pdf" Type="http://schemas.openxmlformats.org/officeDocument/2006/relationships/hyperlink" Id="rId44"/>
    <Relationship TargetMode="External" Target="https://www.legis.iowa.gov/docs/ico/chapter/535D.pdf" Type="http://schemas.openxmlformats.org/officeDocument/2006/relationships/hyperlink" Id="rId45"/>
    <Relationship TargetMode="External" Target="https://www.legis.iowa.gov/docs/ico/chapter/535.pdf" Type="http://schemas.openxmlformats.org/officeDocument/2006/relationships/hyperlink" Id="rId46"/>
    <Relationship TargetMode="External" Target="https://www.legis.iowa.gov/docs/ico/chapter/535A.pdf" Type="http://schemas.openxmlformats.org/officeDocument/2006/relationships/hyperlink" Id="rId47"/>
    <Relationship TargetMode="External" Target="https://www.legis.iowa.gov/docs/ico/chapter/535D.6.pdf" Type="http://schemas.openxmlformats.org/officeDocument/2006/relationships/hyperlink" Id="rId48"/>
    <Relationship TargetMode="External" Target="https://www.legis.iowa.gov/docs/ico/chapter/535D.9.pdf" Type="http://schemas.openxmlformats.org/officeDocument/2006/relationships/hyperlink" Id="rId49"/>
    <Relationship TargetMode="External" Target="https://www.legis.iowa.gov/docs/iac/rule/187.19.6.pdf" Type="http://schemas.openxmlformats.org/officeDocument/2006/relationships/hyperlink" Id="rId50"/>
    <Relationship TargetMode="External" Target="https://www.legis.iowa.gov/docs/iac/rule/187.19.1.pdf" Type="http://schemas.openxmlformats.org/officeDocument/2006/relationships/hyperlink" Id="rId51"/>
    <Relationship TargetMode="External" Target="https://www.legis.iowa.gov/docs/iac/rule/187.19.12.pdf" Type="http://schemas.openxmlformats.org/officeDocument/2006/relationships/hyperlink" Id="rId52"/>
    <Relationship TargetMode="External" Target="https://www.legis.iowa.gov/docs/ico/chapter/17A.pdf" Type="http://schemas.openxmlformats.org/officeDocument/2006/relationships/hyperlink" Id="rId53"/>
    <Relationship TargetMode="External" Target="https://www.legis.iowa.gov/docs/ico/chapter/535D.pdf" Type="http://schemas.openxmlformats.org/officeDocument/2006/relationships/hyperlink" Id="rId54"/>
    <Relationship TargetMode="External" Target="https://www.legis.iowa.gov/docs/ico/chapter/252J.pdf" Type="http://schemas.openxmlformats.org/officeDocument/2006/relationships/hyperlink" Id="rId55"/>
    <Relationship TargetMode="External" Target="https://www.legis.iowa.gov/docs/ico/chapter/252J.pdf" Type="http://schemas.openxmlformats.org/officeDocument/2006/relationships/hyperlink" Id="rId56"/>
    <Relationship TargetMode="External" Target="https://www.legis.iowa.gov/docs/ico/chapter/252J.8.pdf" Type="http://schemas.openxmlformats.org/officeDocument/2006/relationships/hyperlink" Id="rId57"/>
    <Relationship TargetMode="External" Target="https://www.legis.iowa.gov/docs/ico/chapter/252J.8.pdf" Type="http://schemas.openxmlformats.org/officeDocument/2006/relationships/hyperlink" Id="rId58"/>
    <Relationship TargetMode="External" Target="https://www.legis.iowa.gov/docs/ico/chapter/252J.8.pdf" Type="http://schemas.openxmlformats.org/officeDocument/2006/relationships/hyperlink" Id="rId59"/>
    <Relationship TargetMode="External" Target="https://www.legis.iowa.gov/docs/ico/chapter/252J.pdf" Type="http://schemas.openxmlformats.org/officeDocument/2006/relationships/hyperlink" Id="rId60"/>
    <Relationship TargetMode="External" Target="https://www.legis.iowa.gov/docs/ico/chapter/252J.9.pdf" Type="http://schemas.openxmlformats.org/officeDocument/2006/relationships/hyperlink" Id="rId61"/>
    <Relationship TargetMode="External" Target="https://www.legis.iowa.gov/docs/ico/chapter/252J.pdf" Type="http://schemas.openxmlformats.org/officeDocument/2006/relationships/hyperlink" Id="rId62"/>
    <Relationship TargetMode="External" Target="https://www.legis.iowa.gov/docs/ico/chapter/252J.8.pdf" Type="http://schemas.openxmlformats.org/officeDocument/2006/relationships/hyperlink" Id="rId63"/>
    <Relationship TargetMode="External" Target="https://www.legis.iowa.gov/docs/ico/chapter/252J.9.pdf" Type="http://schemas.openxmlformats.org/officeDocument/2006/relationships/hyperlink" Id="rId64"/>
    <Relationship TargetMode="External" Target="https://www.legis.iowa.gov/docs/ico/chapter/252J.pdf" Type="http://schemas.openxmlformats.org/officeDocument/2006/relationships/hyperlink" Id="rId65"/>
    <Relationship TargetMode="External" Target="https://www.legis.iowa.gov/docs/ico/chapter/17A.pdf" Type="http://schemas.openxmlformats.org/officeDocument/2006/relationships/hyperlink" Id="rId66"/>
    <Relationship TargetMode="External" Target="https://www.legis.iowa.gov/docs/ico/chapter/272D.pdf" Type="http://schemas.openxmlformats.org/officeDocument/2006/relationships/hyperlink" Id="rId67"/>
    <Relationship TargetMode="External" Target="https://www.legis.iowa.gov/docs/ico/chapter/272D.pdf" Type="http://schemas.openxmlformats.org/officeDocument/2006/relationships/hyperlink" Id="rId68"/>
    <Relationship TargetMode="External" Target="https://www.legis.iowa.gov/docs/ico/chapter/272D.8.pdf" Type="http://schemas.openxmlformats.org/officeDocument/2006/relationships/hyperlink" Id="rId69"/>
    <Relationship TargetMode="External" Target="https://www.legis.iowa.gov/docs/ico/chapter/272D.8.pdf" Type="http://schemas.openxmlformats.org/officeDocument/2006/relationships/hyperlink" Id="rId70"/>
    <Relationship TargetMode="External" Target="https://www.legis.iowa.gov/docs/ico/chapter/272D.8.pdf" Type="http://schemas.openxmlformats.org/officeDocument/2006/relationships/hyperlink" Id="rId71"/>
    <Relationship TargetMode="External" Target="https://www.legis.iowa.gov/docs/ico/chapter/272D.pdf" Type="http://schemas.openxmlformats.org/officeDocument/2006/relationships/hyperlink" Id="rId72"/>
    <Relationship TargetMode="External" Target="https://www.legis.iowa.gov/docs/ico/chapter/272D.9.pdf" Type="http://schemas.openxmlformats.org/officeDocument/2006/relationships/hyperlink" Id="rId73"/>
    <Relationship TargetMode="External" Target="https://www.legis.iowa.gov/docs/ico/chapter/272D.pdf" Type="http://schemas.openxmlformats.org/officeDocument/2006/relationships/hyperlink" Id="rId74"/>
    <Relationship TargetMode="External" Target="https://www.legis.iowa.gov/docs/ico/chapter/272D.pdf" Type="http://schemas.openxmlformats.org/officeDocument/2006/relationships/hyperlink" Id="rId75"/>
    <Relationship TargetMode="External" Target="https://www.legis.iowa.gov/docs/ico/chapter/17A.pdf" Type="http://schemas.openxmlformats.org/officeDocument/2006/relationships/hyperlink" Id="rId7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