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MORTGAGE BANKERS, MORTGAGE BROKERS, AND REAL ESTATE CLOSING AGENTS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187—18.1</w:t>
      </w:r>
      <w:r>
        <w:rPr>
          <w:rFonts w:ascii="Times New Roman" w:hAnsi="Times New Roman"/>
          <w:b/>
          <w:i w:val="false"/>
          <w:color w:val="000000"/>
          <w:sz w:val="22"/>
        </w:rPr>
        <w:t xml:space="preserve">(17A,535B)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“Criminal background check” </w:t>
      </w:r>
      <w:r>
        <w:rPr>
          <w:rFonts w:ascii="Times New Roman" w:hAnsi="Times New Roman"/>
          <w:b w:val="false"/>
          <w:i w:val="false"/>
          <w:color w:val="000000"/>
          <w:sz w:val="22"/>
        </w:rPr>
        <w:t>means a state criminal background check and a national criminal history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means an electronic application or registration submitted to the administrator for a license to operate as a mortgage banker, mortgage broker, or closing agent in accordance with the provisions of Iowa Code section </w:t>
      </w:r>
      <w:hyperlink r:id="rId6">
        <w:r>
          <w:rPr>
            <w:rStyle w:val="Hyperlink"/>
            <w:rFonts w:ascii="Times New Roman" w:hAnsi="Times New Roman"/>
            <w:b w:val="false"/>
            <w:i w:val="false"/>
            <w:color w:val="000000"/>
            <w:sz w:val="22"/>
          </w:rPr>
          <w:t>535B.4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who has a license to operate as a mortgage banker, mortgage broker, or closing agent in accordance with the provisions of Iowa Code section </w:t>
      </w:r>
      <w:hyperlink r:id="rId7">
        <w:r>
          <w:rPr>
            <w:rStyle w:val="Hyperlink"/>
            <w:rFonts w:ascii="Times New Roman" w:hAnsi="Times New Roman"/>
            <w:b w:val="false"/>
            <w:i w:val="false"/>
            <w:color w:val="000000"/>
            <w:sz w:val="22"/>
          </w:rPr>
          <w:t>535B.4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“Makes at least four mortgage loans,” </w:t>
      </w:r>
      <w:r>
        <w:rPr>
          <w:rFonts w:ascii="Times New Roman" w:hAnsi="Times New Roman"/>
          <w:b w:val="false"/>
          <w:i w:val="false"/>
          <w:color w:val="000000"/>
          <w:sz w:val="22"/>
        </w:rPr>
        <w:t xml:space="preserve">as used in Iowa Code section </w:t>
      </w:r>
      <w:hyperlink r:id="rId8">
        <w:r>
          <w:rPr>
            <w:rStyle w:val="Hyperlink"/>
            <w:rFonts w:ascii="Times New Roman" w:hAnsi="Times New Roman"/>
            <w:b w:val="false"/>
            <w:i w:val="false"/>
            <w:color w:val="000000"/>
            <w:sz w:val="22"/>
          </w:rPr>
          <w:t>535B.1(4)</w:t>
        </w:r>
        <w:r>
          <w:rPr>
            <w:rFonts w:ascii="Times New Roman" w:hAnsi="Times New Roman"/>
            <w:b w:val="false"/>
            <w:i/>
            <w:color w:val="000000"/>
            <w:sz w:val="22"/>
          </w:rPr>
          <w:t>“a,”</w:t>
        </w:r>
      </w:hyperlink>
      <w:r>
        <w:rPr>
          <w:rFonts w:ascii="Times New Roman" w:hAnsi="Times New Roman"/>
          <w:b w:val="false"/>
          <w:i w:val="false"/>
          <w:color w:val="000000"/>
          <w:sz w:val="22"/>
        </w:rPr>
        <w:t xml:space="preserve"> means the person is listed on loan documents as the lender for at least four mortgage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 application”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communication, regardless of form, from a licensee to a borrower requesting information typically required in an application for the purpose of deciding whether or not to extend the requested offer of a loan to a borrower;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communication, regardless of form, from a borrower to a licensee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“Mortgage loan originator” </w:t>
      </w:r>
      <w:r>
        <w:rPr>
          <w:rFonts w:ascii="Times New Roman" w:hAnsi="Times New Roman"/>
          <w:b w:val="false"/>
          <w:i w:val="false"/>
          <w:color w:val="000000"/>
          <w:sz w:val="22"/>
        </w:rPr>
        <w:t xml:space="preserve">means a natural person who is licensed under Iowa Code chapter </w:t>
      </w:r>
      <w:hyperlink r:id="rId9">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187—Chapter 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multistate licensing system developed and maintained by the Conference of State Bank Supervisors and the American Association of Residential Mortgage Regulators for the licensing and registration of mortgage loan originators, mortgage providers, mortgage lenders, mortgage brokers, and mortgage servicers.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a loan”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“servicing a loan” </w:t>
      </w:r>
      <w:r>
        <w:rPr>
          <w:rFonts w:ascii="Times New Roman" w:hAnsi="Times New Roman"/>
          <w:b w:val="false"/>
          <w:i w:val="false"/>
          <w:color w:val="000000"/>
          <w:sz w:val="22"/>
        </w:rPr>
        <w:t>means undertaking the direct collection of payments on a loan from the borrower or holding the right to undertake direct collection of payments on a loan from the borrower. Undertaking the direct collection of payments means receiving any scheduled periodic payments from a borrower pursuant to the terms of any federally related mortgage loan. Holding the right to undertake direct collection of payments means holding the right to service a loan, including where the holder of this right contracts with or otherwise arranges for another person to service the loan.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w:t>
      </w:r>
      <w:r>
        <w:rPr>
          <w:rFonts w:ascii="Times New Roman" w:hAnsi="Times New Roman"/>
          <w:b/>
          <w:i w:val="false"/>
          <w:color w:val="000000"/>
          <w:sz w:val="22"/>
        </w:rPr>
        <w:t xml:space="preserve">(17A,535B)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Application for a license to operate as a mortgage banker, mortgage broker, or closing agent shall be submitted to the administrator through the NMLS, and all requested information shall be provided on or with the application form. The administrator may consider an application or registration withdrawn if the application or registration does not contain all of the information required and the information is not submitted to the administrator within 30 days after the administrator requests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val="false"/>
          <w:color w:val="000000"/>
          <w:sz w:val="22"/>
        </w:rPr>
        <w:t>The license application shall be accompanied by a fee of $500 plus $40 per additional branch location. The $500 fee is not subject to refund. The applicant shall also pay any additional fees required by the NMLS including but not limited to the following: system processing fees, background check fees, and credit background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val="false"/>
          <w:color w:val="000000"/>
          <w:sz w:val="22"/>
        </w:rPr>
        <w:t>If any information changes after the filing of the initial application, the applicant shall provide updated information to the administrator in writing within 10 days of the change. Failure to provide updated information when a change has occurred may result in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approve or deny a license application in accordance with the provisions of Iowa Code section </w:t>
      </w:r>
      <w:hyperlink r:id="rId11">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 xml:space="preserve">. A person shall not be eligible for licensing as a mortgage banker or mortgage broker unless all mortgage loan originators who are employed by, under contract with, or exclusive agents of the person have successfully completed the licensing requirements of Iowa Code chapter </w:t>
      </w:r>
      <w:hyperlink r:id="rId12">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18.2(6)</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mortgage banker or mortgage broker license must file with the administrator a bond complying with the provisions of Iowa Code section </w:t>
      </w:r>
      <w:hyperlink r:id="rId13">
        <w:r>
          <w:rPr>
            <w:rStyle w:val="Hyperlink"/>
            <w:rFonts w:ascii="Times New Roman" w:hAnsi="Times New Roman"/>
            <w:b w:val="false"/>
            <w:i w:val="false"/>
            <w:color w:val="000000"/>
            <w:sz w:val="22"/>
          </w:rPr>
          <w:t>535B.9</w:t>
        </w:r>
      </w:hyperlink>
      <w:r>
        <w:rPr>
          <w:rFonts w:ascii="Times New Roman" w:hAnsi="Times New Roman"/>
          <w:b w:val="false"/>
          <w:i w:val="false"/>
          <w:color w:val="000000"/>
          <w:sz w:val="22"/>
        </w:rPr>
        <w:t>. The bond amount required to be filed and maintained by the applicant shall be set and adjusted as necessary annually in accordance with the following scale, based on the volume of residential mortgage loans made, originated, arranged, brokered, processed, underwritten, and serviced, as the case may be, by the applicant or licensee during the preceding calendar year:</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Loans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Bond Amount</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 $100,000,000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closing agent license must file with the administrator a bond in the amount of $25,000 which complies with the provisions of Iowa Code section </w:t>
      </w:r>
      <w:hyperlink r:id="rId14">
        <w:r>
          <w:rPr>
            <w:rStyle w:val="Hyperlink"/>
            <w:rFonts w:ascii="Times New Roman" w:hAnsi="Times New Roman"/>
            <w:b w:val="false"/>
            <w:i w:val="false"/>
            <w:color w:val="000000"/>
            <w:sz w:val="22"/>
          </w:rPr>
          <w:t>535B.9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18.2(8)</w:t>
      </w:r>
      <w:r>
        <w:rPr>
          <w:rFonts w:ascii="Times New Roman" w:hAnsi="Times New Roman"/>
          <w:b w:val="false"/>
          <w:i w:val="false"/>
          <w:color w:val="000000"/>
          <w:sz w:val="22"/>
        </w:rPr>
        <w:t> </w:t>
      </w:r>
      <w:r>
        <w:rPr>
          <w:rFonts w:ascii="Times New Roman" w:hAnsi="Times New Roman"/>
          <w:b w:val="false"/>
          <w:i w:val="false"/>
          <w:color w:val="000000"/>
          <w:sz w:val="22"/>
        </w:rPr>
        <w:t>Licenses expire on the next December 31 after issuance. However, licenses granted on or after November 1 but before January 1 will not expire until December 31 of the following year. For example, a license granted on November 17, 2008, would not expire until December 31,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187—18.3</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To remain authorized to act as a mortgage banker, mortgage broker, or closing agent, a licensee must renew a license before the expiration date of the license. A licensee who fails to renew a license before expiration is not authorized to act as a mortgage banker, mortgage broker, or closing agent in Iowa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Application to renew a license shall be submitted to the administrator by December 1 of the year of expiration through the NMLS. All requested information shall be provided to the administrator as directed by the NMLS. Applications for renewal of a license to transact business solely as a mortgage broker or closing agent must be accompanied by a fee of $200. Applications for renewal of a license to transact business as a mortgage banker must be accompanied by a fee of $400. In addition, the mortgage banker or mortgage broker licensee shall pay a branch office renewal fee of $40 per branch. The administrator may assess late fees of up to $10 per day for applications submitted after December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receives the application by December 1, accompanied by the appropriate renewal fee, or the administrator receives the application after December 1 but before January 1 and it is accompanied by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val="false"/>
          <w:color w:val="000000"/>
          <w:sz w:val="22"/>
        </w:rPr>
        <w:t>A renewal application received by the administrator after December 31 may, at the discretion of the administrator, be rejected for processing or may be treated as a new application for a license. A licensee who fails to renew a license before the expiration date is not authorized to act as a mortgage banker, mortgage broker, or closing agent in Iowa after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187—18.4</w:t>
      </w:r>
      <w:r>
        <w:rPr>
          <w:rFonts w:ascii="Times New Roman" w:hAnsi="Times New Roman"/>
          <w:b/>
          <w:i w:val="false"/>
          <w:color w:val="000000"/>
          <w:sz w:val="22"/>
        </w:rPr>
        <w:t xml:space="preserve">(17A,535B)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15">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honestly in the public interest consistent with the purposes of Iowa Code chapter </w:t>
      </w:r>
      <w:hyperlink r:id="rId16">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 A pardon of a conviction shall not constitute a conviction for purposes of this subrule.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187—18.5</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Renewal of individual registration.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210" w:after="0"/>
        <w:ind w:left="120"/>
        <w:jc w:val="both"/>
      </w:pPr>
      <w:r>
        <w:rPr>
          <w:rFonts w:ascii="Times New Roman" w:hAnsi="Times New Roman"/>
          <w:b/>
          <w:i w:val="false"/>
          <w:color w:val="000000"/>
          <w:sz w:val="22"/>
        </w:rPr>
        <w:t>187—18.6</w:t>
      </w:r>
      <w:r>
        <w:rPr>
          <w:rFonts w:ascii="Times New Roman" w:hAnsi="Times New Roman"/>
          <w:b/>
          <w:i w:val="false"/>
          <w:color w:val="000000"/>
          <w:sz w:val="22"/>
        </w:rPr>
        <w:t xml:space="preserve">(17A,535B) </w:t>
      </w:r>
      <w:r>
        <w:rPr>
          <w:rFonts w:ascii="Times New Roman" w:hAnsi="Times New Roman"/>
          <w:b/>
          <w:i w:val="false"/>
          <w:color w:val="000000"/>
          <w:sz w:val="22"/>
        </w:rPr>
        <w:t xml:space="preserve">Unattached status of individual registrant.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i w:val="false"/>
          <w:color w:val="000000"/>
          <w:sz w:val="22"/>
        </w:rPr>
        <w:t>187—18.7</w:t>
      </w:r>
      <w:r>
        <w:rPr>
          <w:rFonts w:ascii="Times New Roman" w:hAnsi="Times New Roman"/>
          <w:b/>
          <w:i w:val="false"/>
          <w:color w:val="000000"/>
          <w:sz w:val="22"/>
        </w:rPr>
        <w:t xml:space="preserve">(17A,535B)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within 10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consumer protection laws against the licensee or any of the licensee’s officers, directors, principal stockholders, mortgage loan originators, employees,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18.7(5)</w:t>
      </w:r>
      <w:r>
        <w:rPr>
          <w:rFonts w:ascii="Times New Roman" w:hAnsi="Times New Roman"/>
          <w:b w:val="false"/>
          <w:i w:val="false"/>
          <w:color w:val="000000"/>
          <w:sz w:val="22"/>
        </w:rPr>
        <w:t> </w:t>
      </w:r>
      <w:r>
        <w:rPr>
          <w:rFonts w:ascii="Times New Roman" w:hAnsi="Times New Roman"/>
          <w:b w:val="false"/>
          <w:i w:val="false"/>
          <w:color w:val="000000"/>
          <w:sz w:val="22"/>
        </w:rPr>
        <w:t>The Federal National Mortgage Association, Federal Home Loan Mortgage Corporation, Federal Housing Administration, or Government National Mortgage Association suspends or terminates the licensee’s status as an approved seller or seller/servicer.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187—18.8</w:t>
      </w:r>
      <w:r>
        <w:rPr>
          <w:rFonts w:ascii="Times New Roman" w:hAnsi="Times New Roman"/>
          <w:b/>
          <w:i w:val="false"/>
          <w:color w:val="000000"/>
          <w:sz w:val="22"/>
        </w:rPr>
        <w:t xml:space="preserve">(17A,535B) </w:t>
      </w:r>
      <w:r>
        <w:rPr>
          <w:rFonts w:ascii="Times New Roman" w:hAnsi="Times New Roman"/>
          <w:b/>
          <w:i w:val="false"/>
          <w:color w:val="000000"/>
          <w:sz w:val="22"/>
        </w:rPr>
        <w:t xml:space="preserve">Changes in the licensee’s business;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mortgage banker or mortgage broker licensee shall conduct the residential mortgage lending activities authorized in Iowa Code chapter </w:t>
      </w:r>
      <w:hyperlink r:id="rId17">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under any name other than that stated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administrator through the NMLS of a change in the location, the addition, or the closing of any office prior to the change, addition, or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val="false"/>
          <w:color w:val="000000"/>
          <w:sz w:val="22"/>
        </w:rPr>
        <w:t>A mortgage banker or mortgage broker licensee shall maintain on file with the administrator, through the NMLS, a list of all mortgage loan originators who are employed by, under contract with, or exclusive agents of the licensee. The licensee shall pay any fees assessed by the NMLS to add a mortgage loan originator to the licensee’s list in the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18.8(4)</w:t>
      </w:r>
      <w:r>
        <w:rPr>
          <w:rFonts w:ascii="Times New Roman" w:hAnsi="Times New Roman"/>
          <w:b w:val="false"/>
          <w:i w:val="false"/>
          <w:color w:val="000000"/>
          <w:sz w:val="22"/>
        </w:rPr>
        <w:t> </w:t>
      </w:r>
      <w:r>
        <w:rPr>
          <w:rFonts w:ascii="Times New Roman" w:hAnsi="Times New Roman"/>
          <w:b w:val="false"/>
          <w:i w:val="false"/>
          <w:color w:val="000000"/>
          <w:sz w:val="22"/>
        </w:rPr>
        <w:t>When a mortgage loan originator ceases to be employed by, under contract with, or an exclusive agent of a mortgage banker or mortgage broker licensee, the licensee shall notify the administrator, through the NMLS, within 10 days. The notification shall include the reasons for the termination of the mortgage loan originator’s employment, contract,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18.8(5)</w:t>
      </w:r>
      <w:r>
        <w:rPr>
          <w:rFonts w:ascii="Times New Roman" w:hAnsi="Times New Roman"/>
          <w:b w:val="false"/>
          <w:i w:val="false"/>
          <w:color w:val="000000"/>
          <w:sz w:val="22"/>
        </w:rPr>
        <w:t> </w:t>
      </w:r>
      <w:r>
        <w:rPr>
          <w:rFonts w:ascii="Times New Roman" w:hAnsi="Times New Roman"/>
          <w:b w:val="false"/>
          <w:i w:val="false"/>
          <w:color w:val="000000"/>
          <w:sz w:val="22"/>
        </w:rPr>
        <w:t>A mortgage banker or mortgage broker licensee shall notify the administrator through the NMLS of the addition of any mortgage loan originator, owner, officer, partner, or director within 10 days of addition.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18.8(6)</w:t>
      </w:r>
      <w:r>
        <w:rPr>
          <w:rFonts w:ascii="Times New Roman" w:hAnsi="Times New Roman"/>
          <w:b w:val="false"/>
          <w:i w:val="false"/>
          <w:color w:val="000000"/>
          <w:sz w:val="22"/>
        </w:rPr>
        <w:t> </w:t>
      </w:r>
      <w:r>
        <w:rPr>
          <w:rFonts w:ascii="Times New Roman" w:hAnsi="Times New Roman"/>
          <w:b w:val="false"/>
          <w:i w:val="false"/>
          <w:color w:val="000000"/>
          <w:sz w:val="22"/>
        </w:rPr>
        <w:t>Failure to notify the administrator within the prescribed time as required by this rule may subject the licensee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18.8(7)</w:t>
      </w:r>
      <w:r>
        <w:rPr>
          <w:rFonts w:ascii="Times New Roman" w:hAnsi="Times New Roman"/>
          <w:b w:val="false"/>
          <w:i w:val="false"/>
          <w:color w:val="000000"/>
          <w:sz w:val="22"/>
        </w:rPr>
        <w:t> </w:t>
      </w:r>
      <w:r>
        <w:rPr>
          <w:rFonts w:ascii="Times New Roman" w:hAnsi="Times New Roman"/>
          <w:b w:val="false"/>
          <w:i w:val="false"/>
          <w:color w:val="000000"/>
          <w:sz w:val="22"/>
        </w:rPr>
        <w:t xml:space="preserve"> NMLS system processing fees. In addition to the fees set forth in this chapter, the applicant or licensee shall pay any fee assessed by the NMLS attributed to the licensee’s record in the NMLS including but not limited to the initial set-up fee, an annual processing fee, and a loan sponsorship transfer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18.8(8)</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give notice to the superintendent through the NMLS at least 60 days before the proposed change will take effect. Control is defined in Iowa Code section </w:t>
      </w:r>
      <w:hyperlink r:id="rId18">
        <w:r>
          <w:rPr>
            <w:rStyle w:val="Hyperlink"/>
            <w:rFonts w:ascii="Times New Roman" w:hAnsi="Times New Roman"/>
            <w:b w:val="false"/>
            <w:i w:val="false"/>
            <w:color w:val="000000"/>
            <w:sz w:val="22"/>
          </w:rPr>
          <w:t>535B.6A</w:t>
        </w:r>
      </w:hyperlink>
      <w:r>
        <w:rPr>
          <w:rFonts w:ascii="Times New Roman" w:hAnsi="Times New Roman"/>
          <w:b w:val="false"/>
          <w:i w:val="false"/>
          <w:color w:val="000000"/>
          <w:sz w:val="22"/>
        </w:rPr>
        <w:t xml:space="preserve">. The party that will assume control of the licensee shall furnish the superintendent through the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9">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 xml:space="preserve"> and rule 187—18.4(17A,535B).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187—18.9</w:t>
      </w:r>
      <w:r>
        <w:rPr>
          <w:rFonts w:ascii="Times New Roman" w:hAnsi="Times New Roman"/>
          <w:b/>
          <w:i w:val="false"/>
          <w:color w:val="000000"/>
          <w:sz w:val="22"/>
        </w:rPr>
        <w:t xml:space="preserve">(17A,535B)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investigation late fees. </w:t>
      </w:r>
      <w:r>
        <w:rPr>
          <w:rFonts w:ascii="Times New Roman" w:hAnsi="Times New Roman"/>
          <w:b w:val="false"/>
          <w:i w:val="false"/>
          <w:color w:val="000000"/>
          <w:sz w:val="22"/>
        </w:rPr>
        <w:t>A licensee shall pay the administrator the total charge for an examination or investigation within 30 days after the administrator has requested payment. If a licensee fails to pay an examination or investigation fee by the due date, the administrator may assess an additional penalty of 5 percent of the amount of the fee for each day after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In the process of administrating this chapter, the administrator may require a person to provide responses to formal orders, examinations, or complaint inquiries. If a person fails to respond within 30 days of the request, the administrator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color w:val="000000"/>
          <w:sz w:val="22"/>
        </w:rPr>
        <w:t xml:space="preserve">License determination letters. </w:t>
      </w:r>
      <w:r>
        <w:rPr>
          <w:rFonts w:ascii="Times New Roman" w:hAnsi="Times New Roman"/>
          <w:b w:val="false"/>
          <w:i w:val="false"/>
          <w:color w:val="000000"/>
          <w:sz w:val="22"/>
        </w:rPr>
        <w:t>A person who requests written confirmation from the administrator that a license is not required shall submit a fee of $100 with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color w:val="000000"/>
          <w:sz w:val="22"/>
        </w:rPr>
        <w:t xml:space="preserve">Required financial statements. </w:t>
      </w:r>
      <w:r>
        <w:rPr>
          <w:rFonts w:ascii="Times New Roman" w:hAnsi="Times New Roman"/>
          <w:b w:val="false"/>
          <w:i w:val="false"/>
          <w:color w:val="000000"/>
          <w:sz w:val="22"/>
        </w:rPr>
        <w:t xml:space="preserve">A licensee who fails to file with the administrator the financial statements required under Iowa Code section </w:t>
      </w:r>
      <w:hyperlink r:id="rId20">
        <w:r>
          <w:rPr>
            <w:rStyle w:val="Hyperlink"/>
            <w:rFonts w:ascii="Times New Roman" w:hAnsi="Times New Roman"/>
            <w:b w:val="false"/>
            <w:i w:val="false"/>
            <w:color w:val="000000"/>
            <w:sz w:val="22"/>
          </w:rPr>
          <w:t>535B.10(1)</w:t>
        </w:r>
      </w:hyperlink>
      <w:r>
        <w:rPr>
          <w:rFonts w:ascii="Times New Roman" w:hAnsi="Times New Roman"/>
          <w:b w:val="false"/>
          <w:i w:val="false"/>
          <w:color w:val="000000"/>
          <w:sz w:val="22"/>
        </w:rPr>
        <w:t xml:space="preserve"> within 120 days after the end of a licensee’s fiscal year shall be subject to a late penalty of $100 for each day the financial statements are delinquent, but in no event shall the aggregate of late penalties exceed $5,000. The administrator may relieve any licensee from the payment of any penalty, in whole or in part,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18.9(5)</w:t>
      </w:r>
      <w:r>
        <w:rPr>
          <w:rFonts w:ascii="Times New Roman" w:hAnsi="Times New Roman"/>
          <w:b w:val="false"/>
          <w:i w:val="false"/>
          <w:color w:val="000000"/>
          <w:sz w:val="22"/>
        </w:rPr>
        <w:t> </w:t>
      </w:r>
      <w:r>
        <w:rPr>
          <w:rFonts w:ascii="Times New Roman" w:hAnsi="Times New Roman"/>
          <w:b w:val="false"/>
          <w:i/>
          <w:color w:val="000000"/>
          <w:sz w:val="22"/>
        </w:rPr>
        <w:t xml:space="preserve">Duplicate license. </w:t>
      </w:r>
      <w:r>
        <w:rPr>
          <w:rFonts w:ascii="Times New Roman" w:hAnsi="Times New Roman"/>
          <w:b w:val="false"/>
          <w:i w:val="false"/>
          <w:color w:val="000000"/>
          <w:sz w:val="22"/>
        </w:rPr>
        <w:t>The licensee shall pay a fee of $25 for each duplicate of an original license issued.</w:t>
      </w:r>
    </w:p>
    <w:p>
      <w:pPr>
        <w:spacing w:before="210" w:after="0"/>
        <w:ind w:left="120"/>
        <w:jc w:val="both"/>
      </w:pPr>
      <w:r>
        <w:rPr>
          <w:rFonts w:ascii="Times New Roman" w:hAnsi="Times New Roman"/>
          <w:b/>
          <w:i w:val="false"/>
          <w:color w:val="000000"/>
          <w:sz w:val="22"/>
        </w:rPr>
        <w:t>187—18.10</w:t>
      </w:r>
      <w:r>
        <w:rPr>
          <w:rFonts w:ascii="Times New Roman" w:hAnsi="Times New Roman"/>
          <w:b/>
          <w:i w:val="false"/>
          <w:color w:val="000000"/>
          <w:sz w:val="22"/>
        </w:rPr>
        <w:t xml:space="preserve">(17A,535B)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210" w:after="0"/>
        <w:ind w:left="120"/>
        <w:jc w:val="both"/>
      </w:pPr>
      <w:r>
        <w:rPr>
          <w:rFonts w:ascii="Times New Roman" w:hAnsi="Times New Roman"/>
          <w:b/>
          <w:i w:val="false"/>
          <w:color w:val="000000"/>
          <w:sz w:val="22"/>
        </w:rPr>
        <w:t>187—18.11</w:t>
      </w:r>
      <w:r>
        <w:rPr>
          <w:rFonts w:ascii="Times New Roman" w:hAnsi="Times New Roman"/>
          <w:b/>
          <w:i w:val="false"/>
          <w:color w:val="000000"/>
          <w:sz w:val="22"/>
        </w:rPr>
        <w:t xml:space="preserve">(17A,535B) </w:t>
      </w:r>
      <w:r>
        <w:rPr>
          <w:rFonts w:ascii="Times New Roman" w:hAnsi="Times New Roman"/>
          <w:b/>
          <w:i w:val="false"/>
          <w:color w:val="000000"/>
          <w:sz w:val="22"/>
        </w:rPr>
        <w:t xml:space="preserve">Administrative requirements for courses.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210" w:after="0"/>
        <w:ind w:left="120"/>
        <w:jc w:val="both"/>
      </w:pPr>
      <w:r>
        <w:rPr>
          <w:rFonts w:ascii="Times New Roman" w:hAnsi="Times New Roman"/>
          <w:b/>
          <w:i w:val="false"/>
          <w:color w:val="000000"/>
          <w:sz w:val="22"/>
        </w:rPr>
        <w:t>187—18.12</w:t>
      </w:r>
      <w:r>
        <w:rPr>
          <w:rFonts w:ascii="Times New Roman" w:hAnsi="Times New Roman"/>
          <w:b/>
          <w:i w:val="false"/>
          <w:color w:val="000000"/>
          <w:sz w:val="22"/>
        </w:rPr>
        <w:t xml:space="preserve">(17A,535B) </w:t>
      </w:r>
      <w:r>
        <w:rPr>
          <w:rFonts w:ascii="Times New Roman" w:hAnsi="Times New Roman"/>
          <w:b/>
          <w:i w:val="false"/>
          <w:color w:val="000000"/>
          <w:sz w:val="22"/>
        </w:rPr>
        <w:t xml:space="preserve">Standards for approval of courses of instruction.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210" w:after="0"/>
        <w:ind w:left="120"/>
        <w:jc w:val="both"/>
      </w:pPr>
      <w:r>
        <w:rPr>
          <w:rFonts w:ascii="Times New Roman" w:hAnsi="Times New Roman"/>
          <w:b/>
          <w:i w:val="false"/>
          <w:color w:val="000000"/>
          <w:sz w:val="22"/>
        </w:rPr>
        <w:t>187—18.13</w:t>
      </w:r>
      <w:r>
        <w:rPr>
          <w:rFonts w:ascii="Times New Roman" w:hAnsi="Times New Roman"/>
          <w:b/>
          <w:i w:val="false"/>
          <w:color w:val="000000"/>
          <w:sz w:val="22"/>
        </w:rPr>
        <w:t xml:space="preserve">(17A,535B) </w:t>
      </w:r>
      <w:r>
        <w:rPr>
          <w:rFonts w:ascii="Times New Roman" w:hAnsi="Times New Roman"/>
          <w:b/>
          <w:i w:val="false"/>
          <w:color w:val="000000"/>
          <w:sz w:val="22"/>
        </w:rPr>
        <w:t xml:space="preserve">Standards for approval of live classroom courses.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210" w:after="0"/>
        <w:ind w:left="120"/>
        <w:jc w:val="both"/>
      </w:pPr>
      <w:r>
        <w:rPr>
          <w:rFonts w:ascii="Times New Roman" w:hAnsi="Times New Roman"/>
          <w:b/>
          <w:i w:val="false"/>
          <w:color w:val="000000"/>
          <w:sz w:val="22"/>
        </w:rPr>
        <w:t>187—18.14</w:t>
      </w:r>
      <w:r>
        <w:rPr>
          <w:rFonts w:ascii="Times New Roman" w:hAnsi="Times New Roman"/>
          <w:b/>
          <w:i w:val="false"/>
          <w:color w:val="000000"/>
          <w:sz w:val="22"/>
        </w:rPr>
        <w:t xml:space="preserve">(17A,535B) </w:t>
      </w:r>
      <w:r>
        <w:rPr>
          <w:rFonts w:ascii="Times New Roman" w:hAnsi="Times New Roman"/>
          <w:b/>
          <w:i w:val="false"/>
          <w:color w:val="000000"/>
          <w:sz w:val="22"/>
        </w:rPr>
        <w:t xml:space="preserve">Standards for approval of distance education courses.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210" w:after="0"/>
        <w:ind w:left="120"/>
        <w:jc w:val="both"/>
      </w:pPr>
      <w:r>
        <w:rPr>
          <w:rFonts w:ascii="Times New Roman" w:hAnsi="Times New Roman"/>
          <w:b/>
          <w:i w:val="false"/>
          <w:color w:val="000000"/>
          <w:sz w:val="22"/>
        </w:rPr>
        <w:t>187—18.15</w:t>
      </w:r>
      <w:r>
        <w:rPr>
          <w:rFonts w:ascii="Times New Roman" w:hAnsi="Times New Roman"/>
          <w:b/>
          <w:i w:val="false"/>
          <w:color w:val="000000"/>
          <w:sz w:val="22"/>
        </w:rPr>
        <w:t xml:space="preserve">(17A,535B) </w:t>
      </w:r>
      <w:r>
        <w:rPr>
          <w:rFonts w:ascii="Times New Roman" w:hAnsi="Times New Roman"/>
          <w:b/>
          <w:i w:val="false"/>
          <w:color w:val="000000"/>
          <w:sz w:val="22"/>
        </w:rPr>
        <w:t xml:space="preserve">Standards for approval of paper home-study courses.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10/21/09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i w:val="false"/>
          <w:color w:val="000000"/>
          <w:sz w:val="22"/>
        </w:rPr>
        <w:t>187—18.16</w:t>
      </w:r>
      <w:r>
        <w:rPr>
          <w:rFonts w:ascii="Times New Roman" w:hAnsi="Times New Roman"/>
          <w:b/>
          <w:i w:val="false"/>
          <w:color w:val="000000"/>
          <w:sz w:val="22"/>
        </w:rPr>
        <w:t xml:space="preserve">(17A,535B)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A licensee must keep records that allow the administrator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36 months from the date of the final transaction with the borrower or a party in a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shall produce books and records for the administrator upon request. Failure to produce such books and records within 30 days of the administrator’s request may be grounds for disciplinary action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January 1, 2012, mortgage bankers and mortgage brokers shall have the capability to provide information on the characteristics of loan originations as described in subrule </w:t>
      </w:r>
      <w:hyperlink r:id="rId21">
        <w:r>
          <w:rPr>
            <w:rStyle w:val="Hyperlink"/>
            <w:rFonts w:ascii="Times New Roman" w:hAnsi="Times New Roman"/>
            <w:b w:val="false"/>
            <w:i w:val="false"/>
            <w:color w:val="000000"/>
            <w:sz w:val="22"/>
          </w:rPr>
          <w:t>18.16(11)</w:t>
        </w:r>
      </w:hyperlink>
      <w:r>
        <w:rPr>
          <w:rFonts w:ascii="Times New Roman" w:hAnsi="Times New Roman"/>
          <w:b w:val="false"/>
          <w:i w:val="false"/>
          <w:color w:val="000000"/>
          <w:sz w:val="22"/>
        </w:rPr>
        <w:t xml:space="preserve"> in an electronic format prescribed by the administrator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end of each calendar quarter or some other regular interval determined by the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from the administrator in the case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mortgage broker shall keep an index, application log, and application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mortgage banker shall keep an index, application log, application files, loan register, and loan files. If the mortgage banker also services loans, the mortgage banker must also keep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mortgage banker who only services loans needs to keep only an index, a loan register, loan files, and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closing agent shall keep the general business records outlined in subrule 18.16(9). The general business records are records relating to the closing agent’s general business and do not include records relating to individual customer files. A closing agent shall also keep the following records relating to individual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register containing the information outlined in subrule </w:t>
      </w:r>
      <w:hyperlink r:id="rId22">
        <w:r>
          <w:rPr>
            <w:rStyle w:val="Hyperlink"/>
            <w:rFonts w:ascii="Times New Roman" w:hAnsi="Times New Roman"/>
            <w:b w:val="false"/>
            <w:i w:val="false"/>
            <w:color w:val="000000"/>
            <w:sz w:val="22"/>
          </w:rPr>
          <w:t>18.22(5)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file containing the information outlined in subrule </w:t>
      </w:r>
      <w:hyperlink r:id="rId23">
        <w:r>
          <w:rPr>
            <w:rStyle w:val="Hyperlink"/>
            <w:rFonts w:ascii="Times New Roman" w:hAnsi="Times New Roman"/>
            <w:b w:val="false"/>
            <w:i w:val="false"/>
            <w:color w:val="000000"/>
            <w:sz w:val="22"/>
          </w:rPr>
          <w:t>18.22(6)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18.16(3)</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All mortgage banker and mortgage broker records shall be accessible by the borrower’s name (including the name of any endorser, comaker, or surety who is indebted to the lender) and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18.16(4)</w:t>
      </w:r>
      <w:r>
        <w:rPr>
          <w:rFonts w:ascii="Times New Roman" w:hAnsi="Times New Roman"/>
          <w:b w:val="false"/>
          <w:i w:val="false"/>
          <w:color w:val="000000"/>
          <w:sz w:val="22"/>
        </w:rPr>
        <w:t> </w:t>
      </w:r>
      <w:r>
        <w:rPr>
          <w:rFonts w:ascii="Times New Roman" w:hAnsi="Times New Roman"/>
          <w:b w:val="false"/>
          <w:i/>
          <w:color w:val="000000"/>
          <w:sz w:val="22"/>
        </w:rPr>
        <w:t xml:space="preserve">Application log. </w:t>
      </w:r>
      <w:r>
        <w:rPr>
          <w:rFonts w:ascii="Times New Roman" w:hAnsi="Times New Roman"/>
          <w:b w:val="false"/>
          <w:i w:val="false"/>
          <w:color w:val="000000"/>
          <w:sz w:val="22"/>
        </w:rPr>
        <w:t>A mortgage banker or mortgage broker licensee shall maintain an application log. The application log is a chronological list of applications received. The application log shall include the name of the applicant; date the application was completed; name of the broker, the lender, and the mortgage loan originator, as applicable, including the unique NMLS identification number assigned to each; notes for action taken on applications (such as “approved,” “denied,” or “withdrawn”); and date of action. For approved applications, the application log shall show the date the loan closed and the name of the lender. For purposes of these rules, information from an applicant becomes an application when the licensee obtains the name and social security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18.16(5)</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A mortgage banker or mortgage broker licensee shall maintain a loan register. The loan register shall include the following information for every loan that is made: the date of the transaction; the name of the borrower; the name of the broker, the lender, the mortgage loan originator, and the closing agent, as applicable, including the unique NMLS identification number assigned to each; and the amount financed. The register shall be kept chronologically in the order the loans closed. The loan register may be combined with the application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18.16(6)</w:t>
      </w:r>
      <w:r>
        <w:rPr>
          <w:rFonts w:ascii="Times New Roman" w:hAnsi="Times New Roman"/>
          <w:b w:val="false"/>
          <w:i w:val="false"/>
          <w:color w:val="000000"/>
          <w:sz w:val="22"/>
        </w:rPr>
        <w:t> </w:t>
      </w:r>
      <w:r>
        <w:rPr>
          <w:rFonts w:ascii="Times New Roman" w:hAnsi="Times New Roman"/>
          <w:b w:val="false"/>
          <w:i/>
          <w:color w:val="000000"/>
          <w:sz w:val="22"/>
        </w:rPr>
        <w:t xml:space="preserve">Application file. </w:t>
      </w:r>
      <w:r>
        <w:rPr>
          <w:rFonts w:ascii="Times New Roman" w:hAnsi="Times New Roman"/>
          <w:b w:val="false"/>
          <w:i w:val="false"/>
          <w:color w:val="000000"/>
          <w:sz w:val="22"/>
        </w:rPr>
        <w:t>A mortgage banker or mortgage broker licensee shall maintain an application file for each application received. The application file shall contain copies of the application and any required disclosures. A copy of any adverse action taken on the application, including any documentation supporting that action such as an appraisal report or credit report, shall also be placed in the application file. The application file shall also contain the name of the broker, the lender, and the mortgage loan originator, as applicable, including the unique NMLS identification number assigned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18.16(7)</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mortgage banker or mortgage broker licensee shall maintain a loan file for each loan made. The loan file consists of the application file, the appraisal report, underwriting verifications, the closing file described in subrule </w:t>
      </w:r>
      <w:hyperlink r:id="rId24">
        <w:r>
          <w:rPr>
            <w:rStyle w:val="Hyperlink"/>
            <w:rFonts w:ascii="Times New Roman" w:hAnsi="Times New Roman"/>
            <w:b w:val="false"/>
            <w:i w:val="false"/>
            <w:color w:val="000000"/>
            <w:sz w:val="22"/>
          </w:rPr>
          <w:t>18.22(6)</w:t>
        </w:r>
      </w:hyperlink>
      <w:r>
        <w:rPr>
          <w:rFonts w:ascii="Times New Roman" w:hAnsi="Times New Roman"/>
          <w:b w:val="false"/>
          <w:i w:val="false"/>
          <w:color w:val="000000"/>
          <w:sz w:val="22"/>
        </w:rPr>
        <w:t xml:space="preserve"> including other supporting documentation, and documents from the loan closing. These documents include: note, mortgage, all truth-in-lending disclosures, and all Real Estate Settlement Procedures Act disclosures. The loan file shall also contain the name of the broker, the lender, the mortgage loan originator, and the closing agent, as applicable, including the unique NMLS identification number assigned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18.16(8)</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mortgage banker licensee shall maintain an account ledger for each loan that is serviced, which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borrower, loan number, loan date, payment terms, maturity date, principal amount of loan, amount financed, total of payments, property listed as security, and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transaction history. Payments shall be posted to the account ledger effective the date payments were received. Payment entries will show the date payment was received, the total amount of the payment, and a description of how the payment was applied to the borrower’s account (amount applied to principal, interest, escrow, late fees, or additional written description).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balances due from the borrower, including principal, escrow, late fees, and other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change to the interest rate and the effective date of that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 descriptions of payments made outside the normal course of business, for example, payments made by the sale of security, insurance claim, or endorser. For any payments made by death claims on credit insurance, the date of death shall be noted in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loan is prepaid in full, the dates and amounts of any rebates made to the borrower including escrow rebates and the refunds of unearned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18.16(9)</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mortgage or real estate closing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mortgage applicant, including a record of the date and amount of all such payments actually made by each mortgage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mortgage lending or real estate closing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contractual arrangements or understandings with third parties in any way relating to the provision of mortgage lending services or real estate closing services (including, but not limited to, any delegations of underwriting authority, any agreements for pricing of goods or services, any investor contracts, any employment agreements, and any noncompete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administrator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mortgage business directed at Iowa residents, including advertisements and solicitations on the Internet or by other electronic means, in the format (e.g., recorded sound, video, print) in which the advertisements and solicitations were published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18.16(10)</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the licensee or former licensee disposes of records at the end of the retention period, the licensee or former licensee shall dispose of the records in a reasonable manner that safeguards any identification information, as defined in Iowa Code section </w:t>
      </w:r>
      <w:hyperlink r:id="rId26">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18.16(11)</w:t>
      </w:r>
      <w:r>
        <w:rPr>
          <w:rFonts w:ascii="Times New Roman" w:hAnsi="Times New Roman"/>
          <w:b w:val="false"/>
          <w:i w:val="false"/>
          <w:color w:val="000000"/>
          <w:sz w:val="22"/>
        </w:rPr>
        <w:t> </w:t>
      </w:r>
      <w:r>
        <w:rPr>
          <w:rFonts w:ascii="Times New Roman" w:hAnsi="Times New Roman"/>
          <w:b w:val="false"/>
          <w:i/>
          <w:color w:val="000000"/>
          <w:sz w:val="22"/>
        </w:rPr>
        <w:t xml:space="preserve">Loan records required to be maintained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2012, mortgage bankers and mortgage brokers shall maintain the following records electronically in a format prescribed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mortgage loan and the unique identifier of the mortgage loan originator, the mortgage broker (if applicable), and the lender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enable a computation of key items in the federal truth-in-lending disclosures, including the annual percentage rate, the finance charge, and a schedule of payments, and any deviations between the final disclosures and the most recent disclosures issued prior to the final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the initial disclosure required under the federal Real Estate Settlement Procedures Act, including the rate, the date of any interest rate lock, and an itemization of settlement charges and all broker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the final closing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the terms of each loan, including adjustable rate loan features (including timing of adjustments, indices used in setting rates, maximum and minimum adjustments, floors and ceilings of adjustments), the undiscounted interest rate (if maintained by the lender in an electronic format), penalties for late payments, and penalties for prepayment (including computation of the penalty amount, the duration of prepayment penalty, and the maximum amount of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typically used in underwriting, including the appraised value of the property, the sales price of the property (if a purchase loan), each borrower’s income, the monthly payment amount, the housing debt-to-income ratio, the total debt-to-income ratio, and the credit score of each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a Loan Application Register for mortgage lenders required to submit information pursuant to the federal Home Mortgage Disclosure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brokers shall provide information identified in paragraph </w:t>
      </w:r>
      <w:hyperlink r:id="rId27">
        <w:r>
          <w:rPr>
            <w:rStyle w:val="Hyperlink"/>
            <w:rFonts w:ascii="Times New Roman" w:hAnsi="Times New Roman"/>
            <w:b w:val="false"/>
            <w:i w:val="false"/>
            <w:color w:val="000000"/>
            <w:sz w:val="22"/>
          </w:rPr>
          <w:t>18.16(11)</w:t>
        </w:r>
        <w:r>
          <w:rPr>
            <w:rFonts w:ascii="Times New Roman" w:hAnsi="Times New Roman"/>
            <w:b w:val="false"/>
            <w:i/>
            <w:color w:val="000000"/>
            <w:sz w:val="22"/>
          </w:rPr>
          <w:t>“a”</w:t>
        </w:r>
      </w:hyperlink>
      <w:r>
        <w:rPr>
          <w:rFonts w:ascii="Times New Roman" w:hAnsi="Times New Roman"/>
          <w:b w:val="false"/>
          <w:i w:val="false"/>
          <w:color w:val="000000"/>
          <w:sz w:val="22"/>
        </w:rPr>
        <w:t xml:space="preserve"> unless such information is not prepared or known by the mortgage broker and the mortgage broker does not reasonably have access to the information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permit mortgage bankers and mortgage brokers to utilize compatible third-party software to provide information required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187—18.17</w:t>
      </w:r>
      <w:r>
        <w:rPr>
          <w:rFonts w:ascii="Times New Roman" w:hAnsi="Times New Roman"/>
          <w:b/>
          <w:i w:val="false"/>
          <w:color w:val="000000"/>
          <w:sz w:val="22"/>
        </w:rPr>
        <w:t xml:space="preserve">(17A,535B) </w:t>
      </w:r>
      <w:r>
        <w:rPr>
          <w:rFonts w:ascii="Times New Roman" w:hAnsi="Times New Roman"/>
          <w:b/>
          <w:i w:val="false"/>
          <w:color w:val="000000"/>
          <w:sz w:val="22"/>
        </w:rPr>
        <w:t xml:space="preserve">Mortgage call reports. </w:t>
      </w:r>
      <w:r>
        <w:rPr>
          <w:rFonts w:ascii="Times New Roman" w:hAnsi="Times New Roman"/>
          <w:b w:val="false"/>
          <w:i w:val="false"/>
          <w:color w:val="000000"/>
          <w:sz w:val="22"/>
        </w:rPr>
        <w:t>Each mortgage banker and mortgage broker licensee shall submit to the NMLS reports of condition, which shall be in such form and shall contain such information as the NMLS shall require. For each day after the NMLS-established due date that the report is not received, the administrator may assess late fees of $10 per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187—18.18</w:t>
      </w:r>
      <w:r>
        <w:rPr>
          <w:rFonts w:ascii="Times New Roman" w:hAnsi="Times New Roman"/>
          <w:b/>
          <w:i w:val="false"/>
          <w:color w:val="000000"/>
          <w:sz w:val="22"/>
        </w:rPr>
        <w:t xml:space="preserve">(17A,535B) </w:t>
      </w:r>
      <w:r>
        <w:rPr>
          <w:rFonts w:ascii="Times New Roman" w:hAnsi="Times New Roman"/>
          <w:b/>
          <w:i w:val="false"/>
          <w:color w:val="000000"/>
          <w:sz w:val="22"/>
        </w:rPr>
        <w:t xml:space="preserve">Advertising and representations to potential 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18.18(1)</w:t>
      </w:r>
      <w:r>
        <w:rPr>
          <w:rFonts w:ascii="Times New Roman" w:hAnsi="Times New Roman"/>
          <w:b w:val="false"/>
          <w:i w:val="false"/>
          <w:color w:val="000000"/>
          <w:sz w:val="22"/>
        </w:rPr>
        <w:t> </w:t>
      </w:r>
      <w:r>
        <w:rPr>
          <w:rFonts w:ascii="Times New Roman" w:hAnsi="Times New Roman"/>
          <w:b w:val="false"/>
          <w:i w:val="false"/>
          <w:color w:val="000000"/>
          <w:sz w:val="22"/>
        </w:rPr>
        <w:t>Any advertisement of mortgage loans which are offered by or through a mortgage banker or mortgage broker licensee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be in compliance with Truth-in-Lending, Regulation Z, and any other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be made only for such products and terms as are actually available and, if their availability is subject to any material requirements or limitations, the advertisement shall specify those requirements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not make any statement or fail to make any statement the result of which shall present a misleading or deceptive impression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18.18(2)</w:t>
      </w:r>
      <w:r>
        <w:rPr>
          <w:rFonts w:ascii="Times New Roman" w:hAnsi="Times New Roman"/>
          <w:b w:val="false"/>
          <w:i w:val="false"/>
          <w:color w:val="000000"/>
          <w:sz w:val="22"/>
        </w:rPr>
        <w:t> </w:t>
      </w:r>
      <w:r>
        <w:rPr>
          <w:rFonts w:ascii="Times New Roman" w:hAnsi="Times New Roman"/>
          <w:b w:val="false"/>
          <w:i w:val="false"/>
          <w:color w:val="000000"/>
          <w:sz w:val="22"/>
        </w:rPr>
        <w:t>A licensee receiving a verbal or written inquiry about the licensee’s services shall respond accurately to any questions about the scope and nature of such services and any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187—18.19</w:t>
      </w:r>
      <w:r>
        <w:rPr>
          <w:rFonts w:ascii="Times New Roman" w:hAnsi="Times New Roman"/>
          <w:b/>
          <w:i w:val="false"/>
          <w:color w:val="000000"/>
          <w:sz w:val="22"/>
        </w:rPr>
        <w:t xml:space="preserve">(17A,535B)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18.19(1)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at any time and as often as the administrator deems necessary, investigate a licensee and examine the licensee’s books, accounts,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18.19(2)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investigate complaints or alleged violations about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18.19(3)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187—18.20</w:t>
      </w:r>
      <w:r>
        <w:rPr>
          <w:rFonts w:ascii="Times New Roman" w:hAnsi="Times New Roman"/>
          <w:b/>
          <w:i w:val="false"/>
          <w:color w:val="000000"/>
          <w:sz w:val="22"/>
        </w:rPr>
        <w:t xml:space="preserve">(17A,535B)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has authority pursuant to Iowa Code chapters </w:t>
      </w:r>
      <w:hyperlink r:id="rId28">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30">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18.20(2)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administrator may impose any of the disciplinary sanctions set out in Iowa Code section </w:t>
      </w:r>
      <w:hyperlink r:id="rId31">
        <w:r>
          <w:rPr>
            <w:rStyle w:val="Hyperlink"/>
            <w:rFonts w:ascii="Times New Roman" w:hAnsi="Times New Roman"/>
            <w:b w:val="false"/>
            <w:i w:val="false"/>
            <w:color w:val="000000"/>
            <w:sz w:val="22"/>
          </w:rPr>
          <w:t>535B.7</w:t>
        </w:r>
      </w:hyperlink>
      <w:r>
        <w:rPr>
          <w:rFonts w:ascii="Times New Roman" w:hAnsi="Times New Roman"/>
          <w:b w:val="false"/>
          <w:i w:val="false"/>
          <w:color w:val="000000"/>
          <w:sz w:val="22"/>
        </w:rPr>
        <w:t xml:space="preserve"> when the administrator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violated a provision of Iowa Code chapter </w:t>
      </w:r>
      <w:hyperlink r:id="rId32">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or a rule adopted under Iowa Code chapter </w:t>
      </w:r>
      <w:hyperlink r:id="rId33">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or any other state or federal law applicable to the conduct of the licensee’s business, including but not limited to Iowa Code chapters </w:t>
      </w:r>
      <w:hyperlink r:id="rId34">
        <w:r>
          <w:rPr>
            <w:rStyle w:val="Hyperlink"/>
            <w:rFonts w:ascii="Times New Roman" w:hAnsi="Times New Roman"/>
            <w:b w:val="false"/>
            <w:i w:val="false"/>
            <w:color w:val="000000"/>
            <w:sz w:val="22"/>
          </w:rPr>
          <w:t>535</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fact or condition exists which, had it existed at the time of the original application for the license, would have warranted the administrator to refuse to issue the original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is found upon investigation to be insolvent, in which case the license shall be revoked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has violated an order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fails to fully cooperate with an examination or investigation, including failure to respond to an administrator inquiry within 30 calendar days of the date of mailing a written communication directed to the licensee’s last-known address on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has engaged in any conduct that subverts or attempts to subvert an examination or investigation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licensee continues to operate as a mortgage banker, mortgage broker, or closing agent without an active and current license.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administrator within 10 days of the occurrence of one of the significant events set forth in rule </w:t>
      </w:r>
      <w:hyperlink r:id="rId36">
        <w:r>
          <w:rPr>
            <w:rStyle w:val="Hyperlink"/>
            <w:rFonts w:ascii="Times New Roman" w:hAnsi="Times New Roman"/>
            <w:b w:val="false"/>
            <w:i w:val="false"/>
            <w:color w:val="000000"/>
            <w:sz w:val="22"/>
          </w:rPr>
          <w:t>187—18.7</w:t>
        </w:r>
      </w:hyperlink>
      <w:r>
        <w:rPr>
          <w:rFonts w:ascii="Times New Roman" w:hAnsi="Times New Roman"/>
          <w:b w:val="false"/>
          <w:i w:val="false"/>
          <w:color w:val="000000"/>
          <w:sz w:val="22"/>
        </w:rPr>
        <w:t>(17A,535B).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act as a mortgage banker, mortgage broker, or closing agent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licensee fails to create and maintain complete and accurate records as required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18.20(3)</w:t>
      </w:r>
      <w:r>
        <w:rPr>
          <w:rFonts w:ascii="Times New Roman" w:hAnsi="Times New Roman"/>
          <w:b w:val="false"/>
          <w:i w:val="false"/>
          <w:color w:val="000000"/>
          <w:sz w:val="22"/>
        </w:rPr>
        <w:t> </w:t>
      </w:r>
      <w:r>
        <w:rPr>
          <w:rFonts w:ascii="Times New Roman" w:hAnsi="Times New Roman"/>
          <w:b w:val="false"/>
          <w:i w:val="false"/>
          <w:color w:val="000000"/>
          <w:sz w:val="22"/>
        </w:rPr>
        <w:t>A licensee may surrender a license by delivering to the administrator a written notice of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may issue a cease and desist order ordering a person to cease and desist from violating any provision of Iowa Code chapter </w:t>
      </w:r>
      <w:hyperlink r:id="rId37">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or rules adopted thereunder. The process for issuing a cease and desist order is described in Iowa Code section </w:t>
      </w:r>
      <w:hyperlink r:id="rId38">
        <w:r>
          <w:rPr>
            <w:rStyle w:val="Hyperlink"/>
            <w:rFonts w:ascii="Times New Roman" w:hAnsi="Times New Roman"/>
            <w:b w:val="false"/>
            <w:i w:val="false"/>
            <w:color w:val="000000"/>
            <w:sz w:val="22"/>
          </w:rPr>
          <w:t>535B.13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8238B</w:t>
      </w:r>
      <w:r>
        <w:rPr>
          <w:rFonts w:ascii="Times New Roman" w:hAnsi="Times New Roman"/>
          <w:b w:val="false"/>
          <w:i w:val="false"/>
          <w:color w:val="000000"/>
          <w:sz w:val="16"/>
        </w:rPr>
        <w:t>, IAB 10/21/09,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187—18.21</w:t>
      </w:r>
      <w:r>
        <w:rPr>
          <w:rFonts w:ascii="Times New Roman" w:hAnsi="Times New Roman"/>
          <w:b/>
          <w:i w:val="false"/>
          <w:color w:val="000000"/>
          <w:sz w:val="22"/>
        </w:rPr>
        <w:t xml:space="preserve">(17A,535B) </w:t>
      </w:r>
      <w:r>
        <w:rPr>
          <w:rFonts w:ascii="Times New Roman" w:hAnsi="Times New Roman"/>
          <w:b/>
          <w:i w:val="false"/>
          <w:color w:val="000000"/>
          <w:sz w:val="22"/>
        </w:rPr>
        <w:t xml:space="preserve">Trust fund accounting and internal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18.21(1)</w:t>
      </w:r>
      <w:r>
        <w:rPr>
          <w:rFonts w:ascii="Times New Roman" w:hAnsi="Times New Roman"/>
          <w:b w:val="false"/>
          <w:i w:val="false"/>
          <w:color w:val="000000"/>
          <w:sz w:val="22"/>
        </w:rPr>
        <w:t> </w:t>
      </w:r>
      <w:r>
        <w:rPr>
          <w:rFonts w:ascii="Times New Roman" w:hAnsi="Times New Roman"/>
          <w:b w:val="false"/>
          <w:i w:val="false"/>
          <w:color w:val="000000"/>
          <w:sz w:val="22"/>
        </w:rPr>
        <w:t>A closing agent shall establish and maintain a separate subsidiary ledger for each real estate transaction for which the closing agent performs real estate closing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18.21(2)</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prepare a trial balance for each trust account and each subsidiary ledger at least once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18.21(3)</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perform a three-way reconciliation of bank balance, book balance, and trust account trial balance for each bank trust account at least once each calendar month. A member of the closing agent’s management team shall review and approve the reconciliation at least once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18.21(4)</w:t>
      </w:r>
      <w:r>
        <w:rPr>
          <w:rFonts w:ascii="Times New Roman" w:hAnsi="Times New Roman"/>
          <w:b w:val="false"/>
          <w:i w:val="false"/>
          <w:color w:val="000000"/>
          <w:sz w:val="22"/>
        </w:rPr>
        <w:t> </w:t>
      </w:r>
      <w:r>
        <w:rPr>
          <w:rFonts w:ascii="Times New Roman" w:hAnsi="Times New Roman"/>
          <w:b w:val="false"/>
          <w:i w:val="false"/>
          <w:color w:val="000000"/>
          <w:sz w:val="22"/>
        </w:rPr>
        <w:t>A closing agent shall design accounting processes with the appropriate level of internal controls and management oversight. The process shall include an appropriate segregation of duties. It is recommended that trust account reconciliations be prepared by a person other than a person who records receipts or makes deposits to the trust account. A closing agent may use an outside accountant to perform reconciliations.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187—18.22</w:t>
      </w:r>
      <w:r>
        <w:rPr>
          <w:rFonts w:ascii="Times New Roman" w:hAnsi="Times New Roman"/>
          <w:b/>
          <w:i w:val="false"/>
          <w:color w:val="000000"/>
          <w:sz w:val="22"/>
        </w:rPr>
        <w:t xml:space="preserve">(17A,535B) </w:t>
      </w:r>
      <w:r>
        <w:rPr>
          <w:rFonts w:ascii="Times New Roman" w:hAnsi="Times New Roman"/>
          <w:b/>
          <w:i w:val="false"/>
          <w:color w:val="000000"/>
          <w:sz w:val="22"/>
        </w:rPr>
        <w:t xml:space="preserve">Closing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18.22(1)</w:t>
      </w:r>
      <w:r>
        <w:rPr>
          <w:rFonts w:ascii="Times New Roman" w:hAnsi="Times New Roman"/>
          <w:b w:val="false"/>
          <w:i w:val="false"/>
          <w:color w:val="000000"/>
          <w:sz w:val="22"/>
        </w:rPr>
        <w:t> </w:t>
      </w:r>
      <w:r>
        <w:rPr>
          <w:rFonts w:ascii="Times New Roman" w:hAnsi="Times New Roman"/>
          <w:b w:val="false"/>
          <w:i w:val="false"/>
          <w:color w:val="000000"/>
          <w:sz w:val="22"/>
        </w:rPr>
        <w:t>A closing agent shall read and comply with all closing instructions from the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18.22(2)</w:t>
      </w:r>
      <w:r>
        <w:rPr>
          <w:rFonts w:ascii="Times New Roman" w:hAnsi="Times New Roman"/>
          <w:b w:val="false"/>
          <w:i w:val="false"/>
          <w:color w:val="000000"/>
          <w:sz w:val="22"/>
        </w:rPr>
        <w:t> </w:t>
      </w:r>
      <w:r>
        <w:rPr>
          <w:rFonts w:ascii="Times New Roman" w:hAnsi="Times New Roman"/>
          <w:b w:val="false"/>
          <w:i w:val="false"/>
          <w:color w:val="000000"/>
          <w:sz w:val="22"/>
        </w:rPr>
        <w:t>A closing agent shall disburse or deliver funds only in accordance with closing instructions from the lender, the attorney’s title opinion or title commitment, and the real estate purchase agreement, when applicable. All disbursements shall agree with the final signed closing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18.22(3)</w:t>
      </w:r>
      <w:r>
        <w:rPr>
          <w:rFonts w:ascii="Times New Roman" w:hAnsi="Times New Roman"/>
          <w:b w:val="false"/>
          <w:i w:val="false"/>
          <w:color w:val="000000"/>
          <w:sz w:val="22"/>
        </w:rPr>
        <w:t> </w:t>
      </w:r>
      <w:r>
        <w:rPr>
          <w:rFonts w:ascii="Times New Roman" w:hAnsi="Times New Roman"/>
          <w:b w:val="false"/>
          <w:i w:val="false"/>
          <w:color w:val="000000"/>
          <w:sz w:val="22"/>
        </w:rPr>
        <w:t>A closing agent shall obtain written payoff statements for any loan being paid off as part of the real estate transaction and shall make all loan payoffs as soon after the closing as is practical, but in no event more than two business days after the closing, or within one business day after the rescission period ends in the case of a refinance transaction. For the purposes of this rule, placing the loan payoffs with a delivery service for overnight delivery shall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18.22(4)</w:t>
      </w:r>
      <w:r>
        <w:rPr>
          <w:rFonts w:ascii="Times New Roman" w:hAnsi="Times New Roman"/>
          <w:b w:val="false"/>
          <w:i w:val="false"/>
          <w:color w:val="000000"/>
          <w:sz w:val="22"/>
        </w:rPr>
        <w:t> </w:t>
      </w:r>
      <w:r>
        <w:rPr>
          <w:rFonts w:ascii="Times New Roman" w:hAnsi="Times New Roman"/>
          <w:b w:val="false"/>
          <w:i w:val="false"/>
          <w:color w:val="000000"/>
          <w:sz w:val="22"/>
        </w:rPr>
        <w:t>A closing agent shall be responsible for ensuring that all documents for the real estate transaction that require recording are recorded with the appropriate county recorder’s office in a timely manner, but in no event more than five business days after 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18.22(5)</w:t>
      </w:r>
      <w:r>
        <w:rPr>
          <w:rFonts w:ascii="Times New Roman" w:hAnsi="Times New Roman"/>
          <w:b w:val="false"/>
          <w:i w:val="false"/>
          <w:color w:val="000000"/>
          <w:sz w:val="22"/>
        </w:rPr>
        <w:t> </w:t>
      </w:r>
      <w:r>
        <w:rPr>
          <w:rFonts w:ascii="Times New Roman" w:hAnsi="Times New Roman"/>
          <w:b w:val="false"/>
          <w:i w:val="false"/>
          <w:color w:val="000000"/>
          <w:sz w:val="22"/>
        </w:rPr>
        <w:t>A closing agent shall maintain a closing register and a closing index. A closing register is a chronological list of real estate closings. The closing register shall include for each closing the date of the transaction, the name of the buyer or borrower, the name of the seller, the name of the lender and the mortgage loan originator, and the property address, as applicable. A closing index shall be maintained so that all records are accessible by the names of the parties to the transaction (including the name of the buyer or borrower, the name of the seller, and the name of the mortgage loan originator) and file number. A searchable database containing the information required by this subrule satisfies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18.22(6)</w:t>
      </w:r>
      <w:r>
        <w:rPr>
          <w:rFonts w:ascii="Times New Roman" w:hAnsi="Times New Roman"/>
          <w:b w:val="false"/>
          <w:i w:val="false"/>
          <w:color w:val="000000"/>
          <w:sz w:val="22"/>
        </w:rPr>
        <w:t> </w:t>
      </w:r>
      <w:r>
        <w:rPr>
          <w:rFonts w:ascii="Times New Roman" w:hAnsi="Times New Roman"/>
          <w:b w:val="false"/>
          <w:i w:val="false"/>
          <w:color w:val="000000"/>
          <w:sz w:val="22"/>
        </w:rPr>
        <w:t>A closing agent shall maintain a closing file for each real estate transaction for which the closing agent performed real estate closing services. The closing file shall include, at a minimum,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accounting ledger or disbursement sheet that details all receipts and disbursements with date, transaction type, check number, payee, amount, and the file’s ending balance. All ledger or disbursement sheets shall balance zero after the transaction is completed. If any balance remains, the date, the reason for the balance, and to whom the balance belongs shall be clearly documented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closing disclosure that totals properly and is supported by written instructions for all amounts (such as closing instructions, invoices, or written payoffs). If the closing disclosure requires changes, a copy of the new closing disclosure with changes clearly documented shall be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closing instructions from the lender and other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signed real estate contract,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records of the individuals present at each closing and specifying where and when each closing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Properly executed affidavits, where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that the real estate transaction documents were filed with the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3080C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187—18.23</w:t>
      </w:r>
      <w:r>
        <w:rPr>
          <w:rFonts w:ascii="Times New Roman" w:hAnsi="Times New Roman"/>
          <w:b/>
          <w:i w:val="false"/>
          <w:color w:val="000000"/>
          <w:sz w:val="22"/>
        </w:rPr>
        <w:t xml:space="preserve">(17A,535B) </w:t>
      </w:r>
      <w:r>
        <w:rPr>
          <w:rFonts w:ascii="Times New Roman" w:hAnsi="Times New Roman"/>
          <w:b/>
          <w:i w:val="false"/>
          <w:color w:val="000000"/>
          <w:sz w:val="22"/>
        </w:rPr>
        <w:t xml:space="preserve">Employees of closing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18.23(1)</w:t>
      </w:r>
      <w:r>
        <w:rPr>
          <w:rFonts w:ascii="Times New Roman" w:hAnsi="Times New Roman"/>
          <w:b w:val="false"/>
          <w:i w:val="false"/>
          <w:color w:val="000000"/>
          <w:sz w:val="22"/>
        </w:rPr>
        <w:t> </w:t>
      </w:r>
      <w:r>
        <w:rPr>
          <w:rFonts w:ascii="Times New Roman" w:hAnsi="Times New Roman"/>
          <w:b w:val="false"/>
          <w:i w:val="false"/>
          <w:color w:val="000000"/>
          <w:sz w:val="22"/>
        </w:rPr>
        <w:t>A closing agent shall exercise diligence in hiring practices, including policies regarding background investigations. A closing agent shall conduct a background investigation and credit check for each employee responsible for handling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18.23(2)</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provide appropriate training to employees on real estate closing matters, including trust account administration, real estate closing procedures, and fraud prevention.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187—18.24</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Reporting obligation. </w:t>
      </w:r>
      <w:r>
        <w:rPr>
          <w:rFonts w:ascii="Times New Roman" w:hAnsi="Times New Roman"/>
          <w:b w:val="false"/>
          <w:i w:val="false"/>
          <w:color w:val="000000"/>
          <w:sz w:val="22"/>
        </w:rPr>
        <w:t>If a closing agent detects defalcation regarding the closing agent’s trust account funds, the closing agent must file the following notice with the division of banking within three days of discovering the defalcation. “We have detected circumstances regarding our trust account funds that may warrant an investigation by the banking division. The amount of funds involved is believed to be $________.”</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187—18.25</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Real estate brokers. </w:t>
      </w:r>
      <w:r>
        <w:rPr>
          <w:rFonts w:ascii="Times New Roman" w:hAnsi="Times New Roman"/>
          <w:b w:val="false"/>
          <w:i w:val="false"/>
          <w:color w:val="000000"/>
          <w:sz w:val="22"/>
        </w:rPr>
        <w:t xml:space="preserve">For the purposes of applying the exemption in Iowa Code section </w:t>
      </w:r>
      <w:hyperlink r:id="rId39">
        <w:r>
          <w:rPr>
            <w:rStyle w:val="Hyperlink"/>
            <w:rFonts w:ascii="Times New Roman" w:hAnsi="Times New Roman"/>
            <w:b w:val="false"/>
            <w:i w:val="false"/>
            <w:color w:val="000000"/>
            <w:sz w:val="22"/>
          </w:rPr>
          <w:t>535B.2(6)</w:t>
        </w:r>
      </w:hyperlink>
      <w:r>
        <w:rPr>
          <w:rFonts w:ascii="Times New Roman" w:hAnsi="Times New Roman"/>
          <w:b w:val="false"/>
          <w:i w:val="false"/>
          <w:color w:val="000000"/>
          <w:sz w:val="22"/>
        </w:rPr>
        <w:t xml:space="preserve">, a real estate broker performing real estate closing services shall be deemed to be engaged in practice as a real estate broker only when performing real estate closing services on a transaction in which the broker’s brokerage represents one of the parties to the transaction and the closing is being administered through an account regulated by the real estate commission pursuant to Iowa Code chapter </w:t>
      </w:r>
      <w:hyperlink r:id="rId4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9593B</w:t>
      </w:r>
      <w:r>
        <w:rPr>
          <w:rFonts w:ascii="Times New Roman" w:hAnsi="Times New Roman"/>
          <w:b w:val="false"/>
          <w:i w:val="false"/>
          <w:color w:val="000000"/>
          <w:sz w:val="16"/>
        </w:rPr>
        <w:t>, IAB 6/29/11,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9688B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1">
        <w:r>
          <w:rPr>
            <w:rStyle w:val="Hyperlink"/>
            <w:rFonts w:ascii="Times New Roman" w:hAnsi="Times New Roman"/>
            <w:b w:val="false"/>
            <w:i w:val="false"/>
            <w:color w:val="000000"/>
            <w:sz w:val="22"/>
          </w:rPr>
          <w:t>17A and 535B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5/3/06, Notice 3/29/06—published 5/24/06, effective 7/1/06]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8238B</w:t>
      </w:r>
      <w:r>
        <w:rPr>
          <w:rFonts w:ascii="Times New Roman" w:hAnsi="Times New Roman"/>
          <w:b w:val="false"/>
          <w:i w:val="false"/>
          <w:color w:val="000000"/>
          <w:sz w:val="21"/>
        </w:rPr>
        <w:t xml:space="preserve"> (Notice ARC 8066B, IAB 8/26/09)</w:t>
      </w:r>
      <w:r>
        <w:rPr>
          <w:rFonts w:ascii="Times New Roman" w:hAnsi="Times New Roman"/>
          <w:b w:val="false"/>
          <w:i w:val="false"/>
          <w:color w:val="000000"/>
          <w:sz w:val="21"/>
        </w:rPr>
        <w:t>, IAB 10/21/09, effective 1/1/10]</w:t>
      </w:r>
    </w:p>
    <w:p>
      <w:pPr>
        <w:spacing w:before="0" w:after="0"/>
        <w:ind w:left="120"/>
        <w:jc w:val="center"/>
      </w:pPr>
      <w:r>
        <w:rPr>
          <w:rFonts w:ascii="Times New Roman" w:hAnsi="Times New Roman"/>
          <w:b w:val="false"/>
          <w:i w:val="false"/>
          <w:color w:val="000000"/>
          <w:sz w:val="21"/>
        </w:rPr>
        <w:t>[Filed Emergency ARC 9593B, IAB 6/29/11, effective 7/1/11]</w:t>
      </w:r>
    </w:p>
    <w:p>
      <w:pPr>
        <w:spacing w:before="0" w:after="0"/>
        <w:ind w:left="120"/>
        <w:jc w:val="center"/>
      </w:pPr>
      <w:r>
        <w:rPr>
          <w:rFonts w:ascii="Times New Roman" w:hAnsi="Times New Roman"/>
          <w:b w:val="false"/>
          <w:i w:val="false"/>
          <w:color w:val="000000"/>
          <w:sz w:val="21"/>
        </w:rPr>
        <w:t>[Filed ARC 9688B</w:t>
      </w:r>
      <w:r>
        <w:rPr>
          <w:rFonts w:ascii="Times New Roman" w:hAnsi="Times New Roman"/>
          <w:b w:val="false"/>
          <w:i w:val="false"/>
          <w:color w:val="000000"/>
          <w:sz w:val="21"/>
        </w:rPr>
        <w:t xml:space="preserve"> (Notice ARC 9592B, IAB 6/29/11)</w:t>
      </w:r>
      <w:r>
        <w:rPr>
          <w:rFonts w:ascii="Times New Roman" w:hAnsi="Times New Roman"/>
          <w:b w:val="false"/>
          <w:i w:val="false"/>
          <w:color w:val="000000"/>
          <w:sz w:val="21"/>
        </w:rPr>
        <w:t>, IAB 8/24/11, effective 9/28/11]</w:t>
      </w:r>
    </w:p>
    <w:p>
      <w:pPr>
        <w:spacing w:before="0" w:after="0"/>
        <w:ind w:left="120"/>
        <w:jc w:val="center"/>
      </w:pPr>
      <w:r>
        <w:rPr>
          <w:rFonts w:ascii="Times New Roman" w:hAnsi="Times New Roman"/>
          <w:b w:val="false"/>
          <w:i w:val="false"/>
          <w:color w:val="000000"/>
          <w:sz w:val="21"/>
        </w:rPr>
        <w:t>[Filed ARC 3080C</w:t>
      </w:r>
      <w:r>
        <w:rPr>
          <w:rFonts w:ascii="Times New Roman" w:hAnsi="Times New Roman"/>
          <w:b w:val="false"/>
          <w:i w:val="false"/>
          <w:color w:val="000000"/>
          <w:sz w:val="21"/>
        </w:rPr>
        <w:t xml:space="preserve"> (Notice ARC 2993C, IAB 3/29/17)</w:t>
      </w:r>
      <w:r>
        <w:rPr>
          <w:rFonts w:ascii="Times New Roman" w:hAnsi="Times New Roman"/>
          <w:b w:val="false"/>
          <w:i w:val="false"/>
          <w:color w:val="000000"/>
          <w:sz w:val="21"/>
        </w:rPr>
        <w:t>, IAB 5/24/17, effective 7/1/17]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5B.pdf" Type="http://schemas.openxmlformats.org/officeDocument/2006/relationships/hyperlink" Id="rId5"/>
    <Relationship TargetMode="External" Target="https://www.legis.iowa.gov/docs/ico/chapter/535B.4.pdf" Type="http://schemas.openxmlformats.org/officeDocument/2006/relationships/hyperlink" Id="rId6"/>
    <Relationship TargetMode="External" Target="https://www.legis.iowa.gov/docs/ico/chapter/535B.4.pdf" Type="http://schemas.openxmlformats.org/officeDocument/2006/relationships/hyperlink" Id="rId7"/>
    <Relationship TargetMode="External" Target="https://www.legis.iowa.gov/docs/ico/chapter/535B.1.pdf" Type="http://schemas.openxmlformats.org/officeDocument/2006/relationships/hyperlink" Id="rId8"/>
    <Relationship TargetMode="External" Target="https://www.legis.iowa.gov/docs/ico/chapter/535D.pdf" Type="http://schemas.openxmlformats.org/officeDocument/2006/relationships/hyperlink" Id="rId9"/>
    <Relationship TargetMode="External" Target="https://www.legis.iowa.gov/docs/iac/chapter/187.19.pdf" Type="http://schemas.openxmlformats.org/officeDocument/2006/relationships/hyperlink" Id="rId10"/>
    <Relationship TargetMode="External" Target="https://www.legis.iowa.gov/docs/ico/chapter/535B.5.pdf" Type="http://schemas.openxmlformats.org/officeDocument/2006/relationships/hyperlink" Id="rId11"/>
    <Relationship TargetMode="External" Target="https://www.legis.iowa.gov/docs/ico/chapter/535D.pdf" Type="http://schemas.openxmlformats.org/officeDocument/2006/relationships/hyperlink" Id="rId12"/>
    <Relationship TargetMode="External" Target="https://www.legis.iowa.gov/docs/ico/chapter/535B.9.pdf" Type="http://schemas.openxmlformats.org/officeDocument/2006/relationships/hyperlink" Id="rId13"/>
    <Relationship TargetMode="External" Target="https://www.legis.iowa.gov/docs/ico/chapter/535B.9.pdf" Type="http://schemas.openxmlformats.org/officeDocument/2006/relationships/hyperlink" Id="rId14"/>
    <Relationship TargetMode="External" Target="https://www.legis.iowa.gov/docs/ico/chapter/535B.5.pdf" Type="http://schemas.openxmlformats.org/officeDocument/2006/relationships/hyperlink" Id="rId15"/>
    <Relationship TargetMode="External" Target="https://www.legis.iowa.gov/docs/ico/chapter/533B.pdf" Type="http://schemas.openxmlformats.org/officeDocument/2006/relationships/hyperlink" Id="rId16"/>
    <Relationship TargetMode="External" Target="https://www.legis.iowa.gov/docs/ico/chapter/535B.pdf" Type="http://schemas.openxmlformats.org/officeDocument/2006/relationships/hyperlink" Id="rId17"/>
    <Relationship TargetMode="External" Target="https://www.legis.iowa.gov/docs/ico/chapter/535B.6A.pdf" Type="http://schemas.openxmlformats.org/officeDocument/2006/relationships/hyperlink" Id="rId18"/>
    <Relationship TargetMode="External" Target="https://www.legis.iowa.gov/docs/ico/chapter/535B.5.pdf" Type="http://schemas.openxmlformats.org/officeDocument/2006/relationships/hyperlink" Id="rId19"/>
    <Relationship TargetMode="External" Target="https://www.legis.iowa.gov/docs/ico/chapter/535B.10.pdf" Type="http://schemas.openxmlformats.org/officeDocument/2006/relationships/hyperlink" Id="rId20"/>
    <Relationship TargetMode="External" Target="https://www.legis.iowa.gov/docs/iac/rule/187.18.16.pdf" Type="http://schemas.openxmlformats.org/officeDocument/2006/relationships/hyperlink" Id="rId21"/>
    <Relationship TargetMode="External" Target="https://www.legis.iowa.gov/docs/iac/rule/187.18.22.pdf" Type="http://schemas.openxmlformats.org/officeDocument/2006/relationships/hyperlink" Id="rId22"/>
    <Relationship TargetMode="External" Target="https://www.legis.iowa.gov/docs/iac/rule/187.18.22.pdf" Type="http://schemas.openxmlformats.org/officeDocument/2006/relationships/hyperlink" Id="rId23"/>
    <Relationship TargetMode="External" Target="https://www.legis.iowa.gov/docs/iac/rule/187.18.22.pdf" Type="http://schemas.openxmlformats.org/officeDocument/2006/relationships/hyperlink" Id="rId24"/>
    <Relationship TargetMode="External" Target="https://www.legis.iowa.gov/docs/ico/chapter/535B.pdf" Type="http://schemas.openxmlformats.org/officeDocument/2006/relationships/hyperlink" Id="rId25"/>
    <Relationship TargetMode="External" Target="https://www.legis.iowa.gov/docs/ico/chapter/715A.8.pdf" Type="http://schemas.openxmlformats.org/officeDocument/2006/relationships/hyperlink" Id="rId26"/>
    <Relationship TargetMode="External" Target="https://www.legis.iowa.gov/docs/iac/rule/187.18.16.pdf" Type="http://schemas.openxmlformats.org/officeDocument/2006/relationships/hyperlink" Id="rId27"/>
    <Relationship TargetMode="External" Target="https://www.legis.iowa.gov/docs/ico/chapter/535B.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535B.pdf" Type="http://schemas.openxmlformats.org/officeDocument/2006/relationships/hyperlink" Id="rId30"/>
    <Relationship TargetMode="External" Target="https://www.legis.iowa.gov/docs/ico/chapter/535B.7.pdf" Type="http://schemas.openxmlformats.org/officeDocument/2006/relationships/hyperlink" Id="rId31"/>
    <Relationship TargetMode="External" Target="https://www.legis.iowa.gov/docs/ico/chapter/535B.pdf" Type="http://schemas.openxmlformats.org/officeDocument/2006/relationships/hyperlink" Id="rId32"/>
    <Relationship TargetMode="External" Target="https://www.legis.iowa.gov/docs/ico/chapter/535B.pdf" Type="http://schemas.openxmlformats.org/officeDocument/2006/relationships/hyperlink" Id="rId33"/>
    <Relationship TargetMode="External" Target="https://www.legis.iowa.gov/docs/ico/chapter/535.pdf" Type="http://schemas.openxmlformats.org/officeDocument/2006/relationships/hyperlink" Id="rId34"/>
    <Relationship TargetMode="External" Target="https://www.legis.iowa.gov/docs/ico/chapter/535A.pdf" Type="http://schemas.openxmlformats.org/officeDocument/2006/relationships/hyperlink" Id="rId35"/>
    <Relationship TargetMode="External" Target="https://www.legis.iowa.gov/docs/iac/rule/187.18.7.pdf" Type="http://schemas.openxmlformats.org/officeDocument/2006/relationships/hyperlink" Id="rId36"/>
    <Relationship TargetMode="External" Target="https://www.legis.iowa.gov/docs/ico/chapter/535B.pdf" Type="http://schemas.openxmlformats.org/officeDocument/2006/relationships/hyperlink" Id="rId37"/>
    <Relationship TargetMode="External" Target="https://www.legis.iowa.gov/docs/ico/chapter/535B.13.pdf" Type="http://schemas.openxmlformats.org/officeDocument/2006/relationships/hyperlink" Id="rId38"/>
    <Relationship TargetMode="External" Target="https://www.legis.iowa.gov/docs/ico/chapter/535B.2.pdf" Type="http://schemas.openxmlformats.org/officeDocument/2006/relationships/hyperlink" Id="rId39"/>
    <Relationship TargetMode="External" Target="https://www.legis.iowa.gov/docs/ico/chapter/543B.pdf" Type="http://schemas.openxmlformats.org/officeDocument/2006/relationships/hyperlink" Id="rId40"/>
    <Relationship TargetMode="External" Target="https://www.legis.iowa.gov/docs/ico/chapter/535B.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