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INDUSTRIAL LOANS</w:t>
      </w:r>
    </w:p>
    <w:p>
      <w:pPr>
        <w:spacing w:before="0" w:after="0"/>
        <w:ind w:left="120"/>
        <w:jc w:val="center"/>
      </w:pPr>
      <w:r>
        <w:rPr>
          <w:rFonts w:ascii="Times New Roman" w:hAnsi="Times New Roman"/>
          <w:b w:val="false"/>
          <w:i w:val="false"/>
          <w:color w:val="000000"/>
          <w:sz w:val="14"/>
        </w:rPr>
        <w:t>[Prior to 4/22/87, see Auditor of State [130] Ch 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187—16.1</w:t>
      </w:r>
      <w:r>
        <w:rPr>
          <w:rFonts w:ascii="Times New Roman" w:hAnsi="Times New Roman"/>
          <w:b/>
          <w:i w:val="false"/>
          <w:color w:val="000000"/>
          <w:sz w:val="22"/>
        </w:rPr>
        <w:t xml:space="preserve">(17A,536A)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of making industrial loans” </w:t>
      </w:r>
      <w:r>
        <w:rPr>
          <w:rFonts w:ascii="Times New Roman" w:hAnsi="Times New Roman"/>
          <w:b w:val="false"/>
          <w:i w:val="false"/>
          <w:color w:val="000000"/>
          <w:sz w:val="22"/>
        </w:rPr>
        <w:t xml:space="preserve">means making ten or more loans of money or other forms of credit in a calendar year for which a license is required under Iowa Code section </w:t>
      </w:r>
      <w:hyperlink r:id="rId6">
        <w:r>
          <w:rPr>
            <w:rStyle w:val="Hyperlink"/>
            <w:rFonts w:ascii="Times New Roman" w:hAnsi="Times New Roman"/>
            <w:b w:val="false"/>
            <w:i w:val="false"/>
            <w:color w:val="000000"/>
            <w:sz w:val="22"/>
          </w:rPr>
          <w:t>536A.3</w:t>
        </w:r>
      </w:hyperlink>
      <w:r>
        <w:rPr>
          <w:rFonts w:ascii="Times New Roman" w:hAnsi="Times New Roman"/>
          <w:b w:val="false"/>
          <w:i w:val="false"/>
          <w:color w:val="000000"/>
          <w:sz w:val="22"/>
        </w:rPr>
        <w:t>, advertising the availability of such loans, or directly undertaking the collection of payments due on such loans or otherwise enforcing rights against borrowers who have entered into industrial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loan” </w:t>
      </w:r>
      <w:r>
        <w:rPr>
          <w:rFonts w:ascii="Times New Roman" w:hAnsi="Times New Roman"/>
          <w:b w:val="false"/>
          <w:i w:val="false"/>
          <w:color w:val="000000"/>
          <w:sz w:val="22"/>
        </w:rPr>
        <w:t>means a loan made by a person who is a licensee acting under the terms of the Iowa industrial loan law. An industrial loan qualifies as a consumer loan subject to the Iowa Consumer Credit Code if the borrower is a person other than an organization; the debt is incurred for personal, family, or household use; and the amount financed is below the statutory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loan business” </w:t>
      </w:r>
      <w:r>
        <w:rPr>
          <w:rFonts w:ascii="Times New Roman" w:hAnsi="Times New Roman"/>
          <w:b w:val="false"/>
          <w:i w:val="false"/>
          <w:color w:val="000000"/>
          <w:sz w:val="22"/>
        </w:rPr>
        <w:t xml:space="preserve">means the business of operating an industrial loan company as defined in Iowa Code section </w:t>
      </w:r>
      <w:hyperlink r:id="rId7">
        <w:r>
          <w:rPr>
            <w:rStyle w:val="Hyperlink"/>
            <w:rFonts w:ascii="Times New Roman" w:hAnsi="Times New Roman"/>
            <w:b w:val="false"/>
            <w:i w:val="false"/>
            <w:color w:val="000000"/>
            <w:sz w:val="22"/>
          </w:rPr>
          <w:t>536A.2(1)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multistate licensing system developed and maintained by the Conference of State Bank Supervisors and the American Association of Residential Mortgage Regulators for the licensing and registration of nondepository financial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187—16.2</w:t>
      </w:r>
      <w:r>
        <w:rPr>
          <w:rFonts w:ascii="Times New Roman" w:hAnsi="Times New Roman"/>
          <w:b/>
          <w:i w:val="false"/>
          <w:color w:val="000000"/>
          <w:sz w:val="22"/>
        </w:rPr>
        <w:t xml:space="preserve">(17A,536A)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the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and credit background check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187—16.3</w:t>
      </w:r>
      <w:r>
        <w:rPr>
          <w:rFonts w:ascii="Times New Roman" w:hAnsi="Times New Roman"/>
          <w:b/>
          <w:i w:val="false"/>
          <w:color w:val="000000"/>
          <w:sz w:val="22"/>
        </w:rPr>
        <w:t xml:space="preserve">(17A,536A)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engage in the business of operating an industrial loan company in Iowa shall be submitted to the superintendent, on the form provided and with the information requested, through NMLS. The superintendent may consider an application withdrawn if it does not contain all of the information required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8">
        <w:r>
          <w:rPr>
            <w:rStyle w:val="Hyperlink"/>
            <w:rFonts w:ascii="Times New Roman" w:hAnsi="Times New Roman"/>
            <w:b w:val="false"/>
            <w:i w:val="false"/>
            <w:color w:val="000000"/>
            <w:sz w:val="22"/>
          </w:rPr>
          <w:t>536A.7(2)</w:t>
        </w:r>
      </w:hyperlink>
      <w:r>
        <w:rPr>
          <w:rFonts w:ascii="Times New Roman" w:hAnsi="Times New Roman"/>
          <w:b w:val="false"/>
          <w:i w:val="false"/>
          <w:color w:val="000000"/>
          <w:sz w:val="22"/>
        </w:rPr>
        <w:t>.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in writing within 10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an industrial loan company license must file with the superintendent a bond complying with the provisions of Iowa Code section </w:t>
      </w:r>
      <w:hyperlink r:id="rId9">
        <w:r>
          <w:rPr>
            <w:rStyle w:val="Hyperlink"/>
            <w:rFonts w:ascii="Times New Roman" w:hAnsi="Times New Roman"/>
            <w:b w:val="false"/>
            <w:i w:val="false"/>
            <w:color w:val="000000"/>
            <w:sz w:val="22"/>
          </w:rPr>
          <w:t>536A.7A</w:t>
        </w:r>
      </w:hyperlink>
      <w:r>
        <w:rPr>
          <w:rFonts w:ascii="Times New Roman" w:hAnsi="Times New Roman"/>
          <w:b w:val="false"/>
          <w:i w:val="false"/>
          <w:color w:val="000000"/>
          <w:sz w:val="22"/>
        </w:rPr>
        <w:t xml:space="preserve">. For applicants or licensees who do not make, arrange, broker, process, or underwrite any residential mortgage loans, as defined in Iowa Code section </w:t>
      </w:r>
      <w:hyperlink r:id="rId10">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xml:space="preserve">, the bond shall be in the amount of $25,000. For applicants or licensees who make, broker, process, or underwrite residential mortgage loans, as defined in Iowa Code section </w:t>
      </w:r>
      <w:hyperlink r:id="rId11">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the bond amount required to be filed and maintained shall be set and adjusted annually by March 31 using the following scale, based on the volume of residential mortgage loans made, originated, arranged, brokered, processed, and underwritten, as the case may be, by the applicant or licensee during the preceding calendar year:</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Loans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Bond Amount</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$5,000,000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$5,000,001 – $20,000,000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$20,000,001 – $50,000,000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$50,000,001 –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Licenses expire on the next December 31 after they are issued, but licenses granted on or after November 1 but before January 1 will not expire until December 31 of the following year. For example, a license granted on November 17, 2017, would not expire until December 31,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187—16.4</w:t>
      </w:r>
      <w:r>
        <w:rPr>
          <w:rFonts w:ascii="Times New Roman" w:hAnsi="Times New Roman"/>
          <w:b/>
          <w:i w:val="false"/>
          <w:color w:val="000000"/>
          <w:sz w:val="22"/>
        </w:rPr>
        <w:t xml:space="preserve">(17A,536A)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sections </w:t>
      </w:r>
      <w:hyperlink r:id="rId12">
        <w:r>
          <w:rPr>
            <w:rStyle w:val="Hyperlink"/>
            <w:rFonts w:ascii="Times New Roman" w:hAnsi="Times New Roman"/>
            <w:b w:val="false"/>
            <w:i w:val="false"/>
            <w:color w:val="000000"/>
            <w:sz w:val="22"/>
          </w:rPr>
          <w:t>536A.10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536A.11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within the purposes of Iowa Code chapter </w:t>
      </w:r>
      <w:hyperlink r:id="rId14">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187—16.5</w:t>
      </w:r>
      <w:r>
        <w:rPr>
          <w:rFonts w:ascii="Times New Roman" w:hAnsi="Times New Roman"/>
          <w:b/>
          <w:i w:val="false"/>
          <w:color w:val="000000"/>
          <w:sz w:val="22"/>
        </w:rPr>
        <w:t xml:space="preserve">(17A,536A)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To remain authorized to operate an industrial loan company, a licensee must renew a license before the expiration date of the license. A licensee who fails to renew a license before the expiration date is not authorized to make industrial loans in Iowa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license shall be submitted to the superintendent, on the form provided and with the information requested, through the NMLS by December 1 of the year of expiration. For example, for a license that will expire on December 31, 2017, an application for renewal shall be submitted by December 1, 2017. All requested information, including any material change to information contained in the original application, shall be provided to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grant an application to renew a license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submits the application and the appropriate renewal fee by December 1 or the licensee submits the application after December 1 but before January 1 and pays the appropriate renewal fee and the appropriate late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fully completed and includes all necessary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does not reveal grounds to deny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within the discretion of the superintendent to reject for processing a renewal application submitted after December 31, or to treat such an application as an application for a new license. A licensee who fails to renew a license before the expiration date is not authorized to engage in the business of making industrial loans in Iowa after the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187—16.6</w:t>
      </w:r>
      <w:r>
        <w:rPr>
          <w:rFonts w:ascii="Times New Roman" w:hAnsi="Times New Roman"/>
          <w:b/>
          <w:i w:val="false"/>
          <w:color w:val="000000"/>
          <w:sz w:val="22"/>
        </w:rPr>
        <w:t xml:space="preserve">(17A,536A) </w:t>
      </w:r>
      <w:r>
        <w:rPr>
          <w:rFonts w:ascii="Times New Roman" w:hAnsi="Times New Roman"/>
          <w:b/>
          <w:i w:val="false"/>
          <w:color w:val="000000"/>
          <w:sz w:val="22"/>
        </w:rPr>
        <w:t xml:space="preserve">Changes in the licensee’s name, location, or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an industrial loan business shall notify the superintendent through the NMLS at least 30 days prior to the effective date of the change. The notice shall include proof that the licensee has either obtained a new bond or amended the existing mandatory bond to reflect the new name or location. The licensee shall submit the appropriate fee in conjunction with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submit an application for certificate of approval of the proposed change of control to the superintendent, on the form provided and with the information requested, through the NMLS at least 60 days before the proposed change will take effect. Change of control is defined in Iowa Code section </w:t>
      </w:r>
      <w:hyperlink r:id="rId15">
        <w:r>
          <w:rPr>
            <w:rStyle w:val="Hyperlink"/>
            <w:rFonts w:ascii="Times New Roman" w:hAnsi="Times New Roman"/>
            <w:b w:val="false"/>
            <w:i w:val="false"/>
            <w:color w:val="000000"/>
            <w:sz w:val="22"/>
          </w:rPr>
          <w:t>536A.12(4)</w:t>
        </w:r>
      </w:hyperlink>
      <w:r>
        <w:rPr>
          <w:rFonts w:ascii="Times New Roman" w:hAnsi="Times New Roman"/>
          <w:b w:val="false"/>
          <w:i w:val="false"/>
          <w:color w:val="000000"/>
          <w:sz w:val="22"/>
        </w:rPr>
        <w:t xml:space="preserve">. The party that will assume control of the licensee shall furnish the superintendent with the same information required of initial applicants for a license, along with the appropriate fee. The party that will assume control may be required to provide fingerprints, authorize a fingerprint background check through the NMLS, and pay the appropriate fees for the purpose of conducting a national criminal history background check through the Federal Bureau of Investigation. The superintendent shall approve or deny the request in accordance with the provisions of Iowa Code sections </w:t>
      </w:r>
      <w:hyperlink r:id="rId16">
        <w:r>
          <w:rPr>
            <w:rStyle w:val="Hyperlink"/>
            <w:rFonts w:ascii="Times New Roman" w:hAnsi="Times New Roman"/>
            <w:b w:val="false"/>
            <w:i w:val="false"/>
            <w:color w:val="000000"/>
            <w:sz w:val="22"/>
          </w:rPr>
          <w:t>536A.10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536A.11</w:t>
        </w:r>
      </w:hyperlink>
      <w:r>
        <w:rPr>
          <w:rFonts w:ascii="Times New Roman" w:hAnsi="Times New Roman"/>
          <w:b w:val="false"/>
          <w:i w:val="false"/>
          <w:color w:val="000000"/>
          <w:sz w:val="22"/>
        </w:rPr>
        <w:t xml:space="preserve"> and rule 187—16.4(17A,536A).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administrator within the prescribed time as required by this rule may subject the licensee to disciplinary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187—16.7</w:t>
      </w:r>
      <w:r>
        <w:rPr>
          <w:rFonts w:ascii="Times New Roman" w:hAnsi="Times New Roman"/>
          <w:b/>
          <w:i w:val="false"/>
          <w:color w:val="000000"/>
          <w:sz w:val="22"/>
        </w:rPr>
        <w:t xml:space="preserve">(17A,536A)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immediately and in writing within 10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prosecuting authority files criminal charges against the licensee or any of a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the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187—16.8</w:t>
      </w:r>
      <w:r>
        <w:rPr>
          <w:rFonts w:ascii="Times New Roman" w:hAnsi="Times New Roman"/>
          <w:b/>
          <w:i w:val="false"/>
          <w:color w:val="000000"/>
          <w:sz w:val="22"/>
        </w:rPr>
        <w:t xml:space="preserve">(17A,536A)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18">
        <w:r>
          <w:rPr>
            <w:rStyle w:val="Hyperlink"/>
            <w:rFonts w:ascii="Times New Roman" w:hAnsi="Times New Roman"/>
            <w:b w:val="false"/>
            <w:i w:val="false"/>
            <w:color w:val="000000"/>
            <w:sz w:val="22"/>
          </w:rPr>
          <w:t>536A.15(4)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superintendent may require a person to provide responses to formal orders, examinations, or complaint inquiries. If a person fails to respond within 30 days of the request, the superintendent may assess a penalty of $10 per day after the initial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In addition to the fees set forth in this chapter, the applicant or licensee shall pay any fee assessed by the NMLS attributed to the licensee’s record in the NMLS including but not limited to the initial set-up fee, an annual processing fee,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187—16.9</w:t>
      </w:r>
      <w:r>
        <w:rPr>
          <w:rFonts w:ascii="Times New Roman" w:hAnsi="Times New Roman"/>
          <w:b/>
          <w:i w:val="false"/>
          <w:color w:val="000000"/>
          <w:sz w:val="22"/>
        </w:rPr>
        <w:t xml:space="preserve">(17A,536A)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 xml:space="preserve">A licensee must keep records that allow the superintendent to determine the licensee’s compliance with relevant statutes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keep the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keep records for at least 24 months from the date of the final transaction with the borrower.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all books and records in good order and shall produce books and records for the superintendent upon request. The superintendent or the superintendent’s duly appointed representative shall have the right to examine and investigate the books, accounts, and records wherever situated of all businesses authorized or conducted by a licensee licensed pursuant to Iowa Code chapter </w:t>
      </w:r>
      <w:hyperlink r:id="rId19">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All books, accounts and records pertaining to businesses conducted pursuant to such licenses shall be made readily available to the examiners who may investigate without prior notice. Failure to produce such books and records within 30 days of the superintendent’s request may be grounds for disciplinary action against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obligation to maintain records continues even after the licensee ceases business operations in Iowa and turns in or surrenders its license. The owners and directors of the licensee are responsible for ensuring that this requirement is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 xml:space="preserve">A licensee shall keep, at its principal place of business, a loan register, account ledgers, an account ledger control, a loan file, an index, and a disbursement voucher.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loan register shall contain the original entry and shall show for every loan the loan number, date of loan, name of borrower, nature of security, and amount of note.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loan register shall be kept chronologically in the order the loans are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account ledger shall be kept for each account and shall show at least the loan number, name and address of the borrower, date of loan, date of first payment, date of final payment, terms of repayment including maturity date, amount financed, total of payments, face amount of note if different from amount financed or total of payments, cash advanced to borrower, cash advanced to pay balance of previous industrial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type and cost of any other insurance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shall be credited upon the account ledger as of the date they are received. No erasures whatsoever may be made in the payment section of any account ledger. In case of error, corrections to the transaction history in the account ledger shall be made by corrective entry and not by erasure. The entries on the account ledger shall correspond with the receipts given to the borrower.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payment is made in any way other than in the ordinary course of business, the method of payment shall be so designated on the account ledger; for example, if payment is made through the proceeds of an insurance claim or the sale of security, it shall be so designated. When a death claim is filed, the exact date of death is to be recorded on the 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plus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or renewed account ledgers must also be filed in a similar manner and must be retained as a separate group from one banking division examination to the next. After the examination, these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 xml:space="preserve">A record showing the total number of accounts and amount receivable for each type of business conducted shall be maintained in the licensed office. This record shall be posted either daily or weekly.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or loan account. Such file shall contain the promissory note, security agreement, wage assignment, and all other evidence of indebtedness or security pertaining to the loan except when the promissory note is kept in a separate promissory note file. Copies of the note and security agreement shall be substituted for the original documents if the loan has been sold, pledged or assigned as collateral security or if the original papers are in the custody of a court or agent for collection. If the promissory notes are not kept in the file of original papers and have not been sold, pledged or assigned as collateral security or placed in the custody of a court or agent for collection, then they must be kept in a promissory note file. When a borrower is also a comaker, guarantor, or endorser on another loan, the file of such borrower shall be cross-referenced to the other, unless such cross-referencing is included on the alphabetical record required by subrule 16.9(7) or the individual account ledger required by subrule 16.9(4). All instruments taken in connection with a loan and signed by a borrower must bear the loan number. No instrument or part thereof shall be left blank for completion after the borrower(s) has signed the instrument.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 xml:space="preserve">An alphabetical index shall be maintained for each borrower, endorser, comaker, surety or other party currently indebted to the licensee or to any other business operated within the same office, room, suite or place of business. The index shall show the following information: the name of the obligor, the account number assigned to the obligor’s indebtedness, the type of indebtedness (regulated loan, industrial loan, insurance, or any receivable), information showing whether the obligor is other than a borrower and sufficient information to locate all account ledgers.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 xml:space="preserve">Licensees shall use, in conjunction with each loan, a disbursement voucher or equivalent document showing a detailed itemization of the distribution of the loan proceeds.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industrial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industrial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0">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advertisements and solicitations concerning industrial loan services directed at Iowa residents, including advertisements and solicitations on the Internet or by other electronic means, in the format (e.g., recorded sound, video, print) in which the advertisements and solicitations were published or distributed.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1">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187—16.10</w:t>
      </w:r>
      <w:r>
        <w:rPr>
          <w:rFonts w:ascii="Times New Roman" w:hAnsi="Times New Roman"/>
          <w:b/>
          <w:i w:val="false"/>
          <w:color w:val="000000"/>
          <w:sz w:val="22"/>
        </w:rPr>
        <w:t xml:space="preserve">(17A,536A)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a licensee and examine the licensee’s books, accounts, records, and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investigate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187—16.11</w:t>
      </w:r>
      <w:r>
        <w:rPr>
          <w:rFonts w:ascii="Times New Roman" w:hAnsi="Times New Roman"/>
          <w:b/>
          <w:i w:val="false"/>
          <w:color w:val="000000"/>
          <w:sz w:val="22"/>
        </w:rPr>
        <w:t xml:space="preserve">(17A,536A)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has authority pursuant to Iowa Code chapters </w:t>
      </w:r>
      <w:hyperlink r:id="rId22">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24">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5">
        <w:r>
          <w:rPr>
            <w:rStyle w:val="Hyperlink"/>
            <w:rFonts w:ascii="Times New Roman" w:hAnsi="Times New Roman"/>
            <w:b w:val="false"/>
            <w:i w:val="false"/>
            <w:color w:val="000000"/>
            <w:sz w:val="22"/>
          </w:rPr>
          <w:t>536A.18(2)</w:t>
        </w:r>
      </w:hyperlink>
      <w:r>
        <w:rPr>
          <w:rFonts w:ascii="Times New Roman" w:hAnsi="Times New Roman"/>
          <w:b w:val="false"/>
          <w:i w:val="false"/>
          <w:color w:val="000000"/>
          <w:sz w:val="22"/>
        </w:rPr>
        <w:t xml:space="preserve">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its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fully cooperate with an examination or investigation, including failing to respond to an inquiry from the superintendent within 30 days of the date the superintendent mails a written communication directed to the licensee’s last-known address on file with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engaged in any conduct that subverts or attempts to subvert an examination or investigation by the superintendent.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continues to operate an industrial loan business without an active and current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within 10 days of the occurrence of one of the significant events set forth in rule 187—16.7(17A,536A).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of a change in control, name, or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operates an industrial loan business in the same location as another business without the superintendent’s written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has denied, suspended, revoked, or refused to renew the licensee’s license, registration, or authorization to engage in the business of making loans under the other state’s or jurisdiction’s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not refund the license fee, in whole or in part, of a license that has been suspended, revoked, or surrendered.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187—16.12</w:t>
      </w:r>
      <w:r>
        <w:rPr>
          <w:rFonts w:ascii="Times New Roman" w:hAnsi="Times New Roman"/>
          <w:b/>
          <w:i w:val="false"/>
          <w:color w:val="000000"/>
          <w:sz w:val="22"/>
        </w:rPr>
        <w:t xml:space="preserve">(17A,536A) </w:t>
      </w:r>
      <w:r>
        <w:rPr>
          <w:rFonts w:ascii="Times New Roman" w:hAnsi="Times New Roman"/>
          <w:b/>
          <w:i w:val="false"/>
          <w:color w:val="000000"/>
          <w:sz w:val="22"/>
        </w:rPr>
        <w:t xml:space="preserve">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16.12(1)</w:t>
      </w:r>
      <w:r>
        <w:rPr>
          <w:rFonts w:ascii="Times New Roman" w:hAnsi="Times New Roman"/>
          <w:b w:val="false"/>
          <w:i w:val="false"/>
          <w:color w:val="000000"/>
          <w:sz w:val="22"/>
        </w:rPr>
        <w:t> </w:t>
      </w:r>
      <w:r>
        <w:rPr>
          <w:rFonts w:ascii="Times New Roman" w:hAnsi="Times New Roman"/>
          <w:b w:val="false"/>
          <w:i w:val="false"/>
          <w:color w:val="000000"/>
          <w:sz w:val="22"/>
        </w:rPr>
        <w:t>Annual report. 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187—16.13</w:t>
      </w:r>
      <w:r>
        <w:rPr>
          <w:rFonts w:ascii="Times New Roman" w:hAnsi="Times New Roman"/>
          <w:b/>
          <w:i w:val="false"/>
          <w:color w:val="000000"/>
          <w:sz w:val="22"/>
        </w:rPr>
        <w:t xml:space="preserve">(17A,536A) </w:t>
      </w:r>
      <w:r>
        <w:rPr>
          <w:rFonts w:ascii="Times New Roman" w:hAnsi="Times New Roman"/>
          <w:b/>
          <w:i w:val="false"/>
          <w:color w:val="000000"/>
          <w:sz w:val="22"/>
        </w:rPr>
        <w:t xml:space="preserve">Restrictions on making industrial loans. </w:t>
      </w:r>
      <w:r>
        <w:rPr>
          <w:rFonts w:ascii="Times New Roman" w:hAnsi="Times New Roman"/>
          <w:b w:val="false"/>
          <w:i w:val="false"/>
          <w:color w:val="000000"/>
          <w:sz w:val="22"/>
        </w:rPr>
        <w:t xml:space="preserve">A licensee shall adhere to the following restrictions related to making industrial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A licensee shall have authority to make and complete loans by mail, or by comparable electronic means, from the lender’s licensed office. However, all loans made to Iowa residents pursuant to Iowa Code chapters </w:t>
      </w:r>
      <w:hyperlink r:id="rId26">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must comply with all applicable Iowa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color w:val="000000"/>
          <w:sz w:val="22"/>
        </w:rPr>
        <w:t xml:space="preserve">Default charge. </w:t>
      </w:r>
      <w:r>
        <w:rPr>
          <w:rFonts w:ascii="Times New Roman" w:hAnsi="Times New Roman"/>
          <w:b w:val="false"/>
          <w:i w:val="false"/>
          <w:color w:val="000000"/>
          <w:sz w:val="22"/>
        </w:rPr>
        <w:t>Default charges are not to be collected from a borrower if payment is made by a credit accident and health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color w:val="000000"/>
          <w:sz w:val="22"/>
        </w:rPr>
        <w:t xml:space="preserve">Branch locations. </w:t>
      </w:r>
      <w:r>
        <w:rPr>
          <w:rFonts w:ascii="Times New Roman" w:hAnsi="Times New Roman"/>
          <w:b w:val="false"/>
          <w:i w:val="false"/>
          <w:color w:val="000000"/>
          <w:sz w:val="22"/>
        </w:rPr>
        <w:t>Licensees may not establish branch locations outside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October 8, 1965; amended December 13, 1966, November 15, 1967]</w:t>
      </w:r>
    </w:p>
    <w:p>
      <w:pPr>
        <w:spacing w:before="0" w:after="0"/>
        <w:ind w:left="120"/>
        <w:jc w:val="center"/>
      </w:pPr>
      <w:r>
        <w:rPr>
          <w:rFonts w:ascii="Times New Roman" w:hAnsi="Times New Roman"/>
          <w:b w:val="false"/>
          <w:i w:val="false"/>
          <w:color w:val="000000"/>
          <w:sz w:val="21"/>
        </w:rPr>
        <w:t>[Filed 10/27/76, Notice 9/22/76—published 11/17/76, effective 12/22/76]</w:t>
      </w:r>
    </w:p>
    <w:p>
      <w:pPr>
        <w:spacing w:before="0" w:after="0"/>
        <w:ind w:left="120"/>
        <w:jc w:val="center"/>
      </w:pPr>
      <w:r>
        <w:rPr>
          <w:rFonts w:ascii="Times New Roman" w:hAnsi="Times New Roman"/>
          <w:b w:val="false"/>
          <w:i w:val="false"/>
          <w:color w:val="000000"/>
          <w:sz w:val="21"/>
        </w:rPr>
        <w:t>[Filed emergency 2/6/79—published 3/7/79, effective 2/6/79]</w:t>
      </w:r>
    </w:p>
    <w:p>
      <w:pPr>
        <w:spacing w:before="0" w:after="0"/>
        <w:ind w:left="120"/>
        <w:jc w:val="center"/>
      </w:pPr>
      <w:r>
        <w:rPr>
          <w:rFonts w:ascii="Times New Roman" w:hAnsi="Times New Roman"/>
          <w:b w:val="false"/>
          <w:i w:val="false"/>
          <w:color w:val="000000"/>
          <w:sz w:val="21"/>
        </w:rPr>
        <w:t>[Filed emergency 2/15/79—published 3/7/79, effective 2/15/79]</w:t>
      </w:r>
    </w:p>
    <w:p>
      <w:pPr>
        <w:spacing w:before="0" w:after="0"/>
        <w:ind w:left="120"/>
        <w:jc w:val="center"/>
      </w:pPr>
      <w:r>
        <w:rPr>
          <w:rFonts w:ascii="Times New Roman" w:hAnsi="Times New Roman"/>
          <w:b w:val="false"/>
          <w:i w:val="false"/>
          <w:color w:val="000000"/>
          <w:sz w:val="21"/>
        </w:rPr>
        <w:t>[Filed emergency after Notice 7/19/79, Notice 3/7/79—published 8/8/79, effective 7/19/79]</w:t>
      </w:r>
    </w:p>
    <w:p>
      <w:pPr>
        <w:spacing w:before="0" w:after="0"/>
        <w:ind w:left="120"/>
        <w:jc w:val="center"/>
      </w:pPr>
      <w:r>
        <w:rPr>
          <w:rFonts w:ascii="Times New Roman" w:hAnsi="Times New Roman"/>
          <w:b w:val="false"/>
          <w:i w:val="false"/>
          <w:color w:val="000000"/>
          <w:sz w:val="21"/>
        </w:rPr>
        <w:t>[Filed emergency 11/6/79—published 11/28/79, effective 11/6/79]</w:t>
      </w:r>
    </w:p>
    <w:p>
      <w:pPr>
        <w:spacing w:before="0" w:after="0"/>
        <w:ind w:left="120"/>
        <w:jc w:val="center"/>
      </w:pPr>
      <w:r>
        <w:rPr>
          <w:rFonts w:ascii="Times New Roman" w:hAnsi="Times New Roman"/>
          <w:b w:val="false"/>
          <w:i w:val="false"/>
          <w:color w:val="000000"/>
          <w:sz w:val="21"/>
        </w:rPr>
        <w:t>[Filed 12/17/80, Notice 11/12/80—published 1/7/81, effective 2/11/81]</w:t>
      </w:r>
    </w:p>
    <w:p>
      <w:pPr>
        <w:spacing w:before="0" w:after="0"/>
        <w:ind w:left="120"/>
        <w:jc w:val="center"/>
      </w:pPr>
      <w:r>
        <w:rPr>
          <w:rFonts w:ascii="Times New Roman" w:hAnsi="Times New Roman"/>
          <w:b w:val="false"/>
          <w:i w:val="false"/>
          <w:color w:val="000000"/>
          <w:sz w:val="21"/>
        </w:rPr>
        <w:t>[Filed emergency 9/25/81—published 10/14/81, effective 9/25/81]</w:t>
      </w:r>
    </w:p>
    <w:p>
      <w:pPr>
        <w:spacing w:before="0" w:after="0"/>
        <w:ind w:left="120"/>
        <w:jc w:val="center"/>
      </w:pPr>
      <w:r>
        <w:rPr>
          <w:rFonts w:ascii="Times New Roman" w:hAnsi="Times New Roman"/>
          <w:b w:val="false"/>
          <w:i w:val="false"/>
          <w:color w:val="000000"/>
          <w:sz w:val="21"/>
        </w:rPr>
        <w:t>[Filed 5/21/82, Notice 3/31/82—published 6/9/82, effective 7/14/82]</w:t>
      </w:r>
    </w:p>
    <w:p>
      <w:pPr>
        <w:spacing w:before="0" w:after="0"/>
        <w:ind w:left="120"/>
        <w:jc w:val="center"/>
      </w:pPr>
      <w:r>
        <w:rPr>
          <w:rFonts w:ascii="Times New Roman" w:hAnsi="Times New Roman"/>
          <w:b w:val="false"/>
          <w:i w:val="false"/>
          <w:color w:val="000000"/>
          <w:sz w:val="21"/>
        </w:rPr>
        <w:t>[Filed emergency after Notice 9/27/82, Notice 8/4/82—published 10/13/82, effective 9/27/82]</w:t>
      </w:r>
    </w:p>
    <w:p>
      <w:pPr>
        <w:spacing w:before="0" w:after="0"/>
        <w:ind w:left="120"/>
        <w:jc w:val="center"/>
      </w:pPr>
      <w:r>
        <w:rPr>
          <w:rFonts w:ascii="Times New Roman" w:hAnsi="Times New Roman"/>
          <w:b w:val="false"/>
          <w:i w:val="false"/>
          <w:color w:val="000000"/>
          <w:sz w:val="21"/>
        </w:rPr>
        <w:t>[Filed emergency after Notice 5/18/84, Notice 4/11/84—published 6/6/84, effective 7/1/84]</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7/29/94, Notice 6/8/94—published 8/17/94, effective 9/21/94]</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ARC 8237B</w:t>
      </w:r>
      <w:r>
        <w:rPr>
          <w:rFonts w:ascii="Times New Roman" w:hAnsi="Times New Roman"/>
          <w:b w:val="false"/>
          <w:i w:val="false"/>
          <w:color w:val="000000"/>
          <w:sz w:val="21"/>
        </w:rPr>
        <w:t xml:space="preserve"> (Notice ARC 8068B,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3078C</w:t>
      </w:r>
      <w:r>
        <w:rPr>
          <w:rFonts w:ascii="Times New Roman" w:hAnsi="Times New Roman"/>
          <w:b w:val="false"/>
          <w:i w:val="false"/>
          <w:color w:val="000000"/>
          <w:sz w:val="21"/>
        </w:rPr>
        <w:t xml:space="preserve"> (Notice ARC 2994C, IAB 3/29/17)</w:t>
      </w:r>
      <w:r>
        <w:rPr>
          <w:rFonts w:ascii="Times New Roman" w:hAnsi="Times New Roman"/>
          <w:b w:val="false"/>
          <w:i w:val="false"/>
          <w:color w:val="000000"/>
          <w:sz w:val="21"/>
        </w:rPr>
        <w:t>, IAB 5/24/17, effective 7/1/17]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6A.pdf" Type="http://schemas.openxmlformats.org/officeDocument/2006/relationships/hyperlink" Id="rId5"/>
    <Relationship TargetMode="External" Target="https://www.legis.iowa.gov/docs/ico/chapter/536A.3.pdf" Type="http://schemas.openxmlformats.org/officeDocument/2006/relationships/hyperlink" Id="rId6"/>
    <Relationship TargetMode="External" Target="https://www.legis.iowa.gov/docs/ico/chapter/536A.2.pdf" Type="http://schemas.openxmlformats.org/officeDocument/2006/relationships/hyperlink" Id="rId7"/>
    <Relationship TargetMode="External" Target="https://www.legis.iowa.gov/docs/ico/chapter/536A.7.pdf" Type="http://schemas.openxmlformats.org/officeDocument/2006/relationships/hyperlink" Id="rId8"/>
    <Relationship TargetMode="External" Target="https://www.legis.iowa.gov/docs/ico/chapter/536A.7A.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5D.3.pdf" Type="http://schemas.openxmlformats.org/officeDocument/2006/relationships/hyperlink" Id="rId11"/>
    <Relationship TargetMode="External" Target="https://www.legis.iowa.gov/docs/ico/chapter/536A.10.pdf" Type="http://schemas.openxmlformats.org/officeDocument/2006/relationships/hyperlink" Id="rId12"/>
    <Relationship TargetMode="External" Target="https://www.legis.iowa.gov/docs/ico/chapter/536A.11.pdf" Type="http://schemas.openxmlformats.org/officeDocument/2006/relationships/hyperlink" Id="rId13"/>
    <Relationship TargetMode="External" Target="https://www.legis.iowa.gov/docs/ico/chapter/536A.pdf" Type="http://schemas.openxmlformats.org/officeDocument/2006/relationships/hyperlink" Id="rId14"/>
    <Relationship TargetMode="External" Target="https://www.legis.iowa.gov/docs/ico/chapter/536A.12.pdf" Type="http://schemas.openxmlformats.org/officeDocument/2006/relationships/hyperlink" Id="rId15"/>
    <Relationship TargetMode="External" Target="https://www.legis.iowa.gov/docs/ico/chapter/536A.10.pdf" Type="http://schemas.openxmlformats.org/officeDocument/2006/relationships/hyperlink" Id="rId16"/>
    <Relationship TargetMode="External" Target="https://www.legis.iowa.gov/docs/ico/chapter/536A.11.pdf" Type="http://schemas.openxmlformats.org/officeDocument/2006/relationships/hyperlink" Id="rId17"/>
    <Relationship TargetMode="External" Target="https://www.legis.iowa.gov/docs/ico/chapter/536A.15.pdf" Type="http://schemas.openxmlformats.org/officeDocument/2006/relationships/hyperlink" Id="rId18"/>
    <Relationship TargetMode="External" Target="https://www.legis.iowa.gov/docs/ico/chapter/536A.pdf" Type="http://schemas.openxmlformats.org/officeDocument/2006/relationships/hyperlink" Id="rId19"/>
    <Relationship TargetMode="External" Target="https://www.legis.iowa.gov/docs/ico/chapter/536A.pdf" Type="http://schemas.openxmlformats.org/officeDocument/2006/relationships/hyperlink" Id="rId20"/>
    <Relationship TargetMode="External" Target="https://www.legis.iowa.gov/docs/ico/chapter/715A.8.pdf" Type="http://schemas.openxmlformats.org/officeDocument/2006/relationships/hyperlink" Id="rId21"/>
    <Relationship TargetMode="External" Target="https://www.legis.iowa.gov/docs/ico/chapter/536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36A.pdf" Type="http://schemas.openxmlformats.org/officeDocument/2006/relationships/hyperlink" Id="rId24"/>
    <Relationship TargetMode="External" Target="https://www.legis.iowa.gov/docs/ico/chapter/536A.18.pdf" Type="http://schemas.openxmlformats.org/officeDocument/2006/relationships/hyperlink" Id="rId25"/>
    <Relationship TargetMode="External" Target="https://www.legis.iowa.gov/docs/ico/chapter/536A.pdf" Type="http://schemas.openxmlformats.org/officeDocument/2006/relationships/hyperlink" Id="rId26"/>
    <Relationship TargetMode="External" Target="https://www.legis.iowa.gov/docs/ico/chapter/537.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36A.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