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spacing w:before="0" w:after="0"/>
        <w:ind w:left="120"/>
        <w:jc w:val="center"/>
      </w:pPr>
      <w:r>
        <w:rPr>
          <w:rFonts w:ascii="Times New Roman" w:hAnsi="Times New Roman"/>
          <w:b w:val="false"/>
          <w:i w:val="false"/>
          <w:color w:val="000000"/>
          <w:sz w:val="14"/>
        </w:rPr>
        <w:t>[Prior to 4/22/87, see Banking Department[140] Ch 1]</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187—1.1</w:t>
      </w:r>
      <w:r>
        <w:rPr>
          <w:rFonts w:ascii="Times New Roman" w:hAnsi="Times New Roman"/>
          <w:b/>
          <w:i w:val="false"/>
          <w:color w:val="000000"/>
          <w:sz w:val="22"/>
        </w:rPr>
        <w:t xml:space="preserve">(17A,524)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of terms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shall apply for these terms as they are used throughout this chapter. In addition,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banking.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means the superintendent of banking.</w:t>
      </w:r>
    </w:p>
    <w:p>
      <w:pPr>
        <w:spacing w:before="0" w:after="0"/>
        <w:ind w:left="120"/>
        <w:jc w:val="both"/>
      </w:pPr>
      <w:r>
        <w:rPr>
          <w:rFonts w:ascii="Times New Roman" w:hAnsi="Times New Roman"/>
          <w:b/>
          <w:i w:val="false"/>
          <w:color w:val="000000"/>
          <w:sz w:val="22"/>
        </w:rPr>
        <w:t>187—1.2</w:t>
      </w:r>
      <w:r>
        <w:rPr>
          <w:rFonts w:ascii="Times New Roman" w:hAnsi="Times New Roman"/>
          <w:b/>
          <w:i w:val="false"/>
          <w:color w:val="000000"/>
          <w:sz w:val="22"/>
        </w:rPr>
        <w:t xml:space="preserve">(17A,524) </w:t>
      </w:r>
      <w:r>
        <w:rPr>
          <w:rFonts w:ascii="Times New Roman" w:hAnsi="Times New Roman"/>
          <w:b/>
          <w:i w:val="false"/>
          <w:color w:val="000000"/>
          <w:sz w:val="22"/>
        </w:rPr>
        <w:t xml:space="preserve">Scope and application. </w:t>
      </w:r>
      <w:r>
        <w:rPr>
          <w:rFonts w:ascii="Times New Roman" w:hAnsi="Times New Roman"/>
          <w:b w:val="false"/>
          <w:i w:val="false"/>
          <w:color w:val="000000"/>
          <w:sz w:val="22"/>
        </w:rPr>
        <w:t>This chapter describes the office of the superintendent and identifies the established place at which, the employees from whom, and the methods whereby the public may obtain information from, make requests of, or obtain decisions from the superintendent on matters within the authority of the superintendent.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6795C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187—1.3</w:t>
      </w:r>
      <w:r>
        <w:rPr>
          <w:rFonts w:ascii="Times New Roman" w:hAnsi="Times New Roman"/>
          <w:b/>
          <w:i w:val="false"/>
          <w:color w:val="000000"/>
          <w:sz w:val="22"/>
        </w:rPr>
        <w:t xml:space="preserve">(17A,524) </w:t>
      </w:r>
      <w:r>
        <w:rPr>
          <w:rFonts w:ascii="Times New Roman" w:hAnsi="Times New Roman"/>
          <w:b/>
          <w:i w:val="false"/>
          <w:color w:val="000000"/>
          <w:sz w:val="22"/>
        </w:rPr>
        <w:t xml:space="preserve">Division of banking.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Organization—division. </w:t>
      </w:r>
      <w:r>
        <w:rPr>
          <w:rFonts w:ascii="Times New Roman" w:hAnsi="Times New Roman"/>
          <w:b w:val="false"/>
          <w:i w:val="false"/>
          <w:color w:val="000000"/>
          <w:sz w:val="22"/>
        </w:rPr>
        <w:t xml:space="preserve">The division of banking is a subdivision of the department of commerce and consists of the superintendent and those employees who discharge the duties and responsibilities imposed upon the superintendent by the laws of this state. The superintendent has general control, supervision and regulatory authority over all entities which the division is given authority to regulate pursuant to the Code of Iowa. The division consists of three separate bureaus: the bank bureau, the finance bureau, and the professional licensing and regulation bureau. The bank bureau has primary responsibility relating to the supervision, regulation, and chartering of state banks. The finance bureau has primary responsibilities relating to the supervision, regulation, and licensing of appraisal management companies, closing agents, debt management businesses, delayed deposit services businesses, industrial loan companies, money services businesses, mortgage bankers, mortgage brokers, mortgage loan originators, real estate appraisers, and regulated loan companies. The professional licensing and regulation bureau has primary responsibilities relating to the regulation and licensing of specified professions by providing administrative support to and coordinating the activities of the following licensing boards: the Iowa accountancy examining board, the architectural examining board, the engineering and land surveying examining board, the interior design examining board, the landscape architectural examining board, and the real estate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Organization—superintendent. </w:t>
      </w:r>
      <w:r>
        <w:rPr>
          <w:rFonts w:ascii="Times New Roman" w:hAnsi="Times New Roman"/>
          <w:b w:val="false"/>
          <w:i w:val="false"/>
          <w:color w:val="000000"/>
          <w:sz w:val="22"/>
        </w:rPr>
        <w:t>The superintendent is the administrator of the division. The superintendent is appointed by the governor, by and with the approval of the senate, for a term of four years. The superintendent’s office is located at 200 East Grand Avenue, Suite 300, Des Moines, Iowa 50309-1827. The superintendent is assisted by the following officials who are responsible to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Bank bureau chief. </w:t>
      </w:r>
      <w:r>
        <w:rPr>
          <w:rFonts w:ascii="Times New Roman" w:hAnsi="Times New Roman"/>
          <w:b w:val="false"/>
          <w:i w:val="false"/>
          <w:color w:val="000000"/>
          <w:sz w:val="22"/>
        </w:rPr>
        <w:t xml:space="preserve">The bank bureau chief performs such duties as the superintendent prescribes, including general supervision of all bank examining personnel, administration and supervision of regulatory examinations, and administration and supervision of all matters relating to the exercise of banking powers authorized by the laws of this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Bank analysts. </w:t>
      </w:r>
      <w:r>
        <w:rPr>
          <w:rFonts w:ascii="Times New Roman" w:hAnsi="Times New Roman"/>
          <w:b w:val="false"/>
          <w:i w:val="false"/>
          <w:color w:val="000000"/>
          <w:sz w:val="22"/>
        </w:rPr>
        <w:t>Bank analysts perform such duties as the superintendent prescribes, including advanced technical analysis and review of examination and financial reports of banks and bank holding companies; assessing, measuring, and monitoring the risk conditions in state banks and bank holding companies; assisting the superintendent and banking council in the analysis of applications submitted to the division for approval; and the review and analysis of bank examination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Finance bureau chief. </w:t>
      </w:r>
      <w:r>
        <w:rPr>
          <w:rFonts w:ascii="Times New Roman" w:hAnsi="Times New Roman"/>
          <w:b w:val="false"/>
          <w:i w:val="false"/>
          <w:color w:val="000000"/>
          <w:sz w:val="22"/>
        </w:rPr>
        <w:t>The finance bureau chief performs duties prescribed by the superintendent, including general supervision over all matters relating to the licensing and supervision of appraisal management companies, closing agents, debt management businesses, delayed deposit services businesses, industrial loan companies, money services businesses, mortgage bankers, mortgage brokers, mortgage loan originators, real estate appraisers, and regulated loan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Chief operating officer. </w:t>
      </w:r>
      <w:r>
        <w:rPr>
          <w:rFonts w:ascii="Times New Roman" w:hAnsi="Times New Roman"/>
          <w:b w:val="false"/>
          <w:i w:val="false"/>
          <w:color w:val="000000"/>
          <w:sz w:val="22"/>
        </w:rPr>
        <w:t>The chief operating officer performs duties prescribed by the superintendent, including management of the administrative functions, information technology needs, and fiscal affairs of the division of banking. The chief operating officer is also responsible for administration of personnel policies, work rules, payrolls, and employee benefits for all employees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Examiners. </w:t>
      </w:r>
      <w:r>
        <w:rPr>
          <w:rFonts w:ascii="Times New Roman" w:hAnsi="Times New Roman"/>
          <w:b w:val="false"/>
          <w:i w:val="false"/>
          <w:color w:val="000000"/>
          <w:sz w:val="22"/>
        </w:rPr>
        <w:t xml:space="preserve">Each examiner performs duties prescribed by the superintendent in a manner consistent with the laws of this state and may be predominantly trained in an area within the jurisdiction of the superintendent. Bank examinations are performed by examining personnel situated in examination regions throughout the state. Each region is headed by a regional manager who is assisted by a staff of examiners.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Professional licensing and regulation bureau chief. </w:t>
      </w:r>
      <w:r>
        <w:rPr>
          <w:rFonts w:ascii="Times New Roman" w:hAnsi="Times New Roman"/>
          <w:b w:val="false"/>
          <w:i w:val="false"/>
          <w:color w:val="000000"/>
          <w:sz w:val="22"/>
        </w:rPr>
        <w:t xml:space="preserve">The professional licensing and regulation bureau chief performs such duties as the superintendent prescribes, including budgetary and personnel matters related to the licensing and regulation of several professions, by providing administrative support to and coordinating the activities of the following licensing boards: the Iowa accountancy examining board created pursuant to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the engineering and land surveying board created pursuant to Iowa Code chapter </w:t>
      </w:r>
      <w:hyperlink r:id="rId7">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the real estate commission created pursuant to Iowa Code chapter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the architectural examining board created pursuant to Iowa Code chapter </w:t>
      </w:r>
      <w:hyperlink r:id="rId9">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the landscape architectural examining board created pursuant to Iowa Code chapter </w:t>
      </w:r>
      <w:hyperlink r:id="rId10">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the interior design examining board created pursuant to Iowa Code chapter </w:t>
      </w:r>
      <w:hyperlink r:id="rId11">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4054C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6795C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524.208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7/1/75—published 7/14/75]</w:t>
      </w:r>
    </w:p>
    <w:p>
      <w:pPr>
        <w:spacing w:before="0" w:after="0"/>
        <w:ind w:left="120"/>
        <w:jc w:val="center"/>
      </w:pPr>
      <w:r>
        <w:rPr>
          <w:rFonts w:ascii="Times New Roman" w:hAnsi="Times New Roman"/>
          <w:b w:val="false"/>
          <w:i w:val="false"/>
          <w:color w:val="000000"/>
          <w:sz w:val="21"/>
        </w:rPr>
        <w:t>[Filed 4/12/76, Notice 2/9/76—published 5/3/76, effective 6/7/76]</w:t>
      </w:r>
    </w:p>
    <w:p>
      <w:pPr>
        <w:spacing w:before="0" w:after="0"/>
        <w:ind w:left="120"/>
        <w:jc w:val="center"/>
      </w:pPr>
      <w:r>
        <w:rPr>
          <w:rFonts w:ascii="Times New Roman" w:hAnsi="Times New Roman"/>
          <w:b w:val="false"/>
          <w:i w:val="false"/>
          <w:color w:val="000000"/>
          <w:sz w:val="21"/>
        </w:rPr>
        <w:t>[Filed 3/16/79, Notice 2/7/79—published 4/4/79, effective 5/9/79]</w:t>
      </w:r>
    </w:p>
    <w:p>
      <w:pPr>
        <w:spacing w:before="0" w:after="0"/>
        <w:ind w:left="120"/>
        <w:jc w:val="center"/>
      </w:pPr>
      <w:r>
        <w:rPr>
          <w:rFonts w:ascii="Times New Roman" w:hAnsi="Times New Roman"/>
          <w:b w:val="false"/>
          <w:i w:val="false"/>
          <w:color w:val="000000"/>
          <w:sz w:val="21"/>
        </w:rPr>
        <w:t>[Filed emergency 8/9/85—published 8/28/85, effective 8/9/85]</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11/8/00, Notice 10/4/00—published 11/29/00, effective 1/3/01]</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ARC 4054C</w:t>
      </w:r>
      <w:r>
        <w:rPr>
          <w:rFonts w:ascii="Times New Roman" w:hAnsi="Times New Roman"/>
          <w:b w:val="false"/>
          <w:i w:val="false"/>
          <w:color w:val="000000"/>
          <w:sz w:val="21"/>
        </w:rPr>
        <w:t xml:space="preserve"> (Notice ARC 3947C,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6795C</w:t>
      </w:r>
      <w:r>
        <w:rPr>
          <w:rFonts w:ascii="Times New Roman" w:hAnsi="Times New Roman"/>
          <w:b w:val="false"/>
          <w:i w:val="false"/>
          <w:color w:val="000000"/>
          <w:sz w:val="21"/>
        </w:rPr>
        <w:t xml:space="preserve"> (Notice ARC 6602C, IAB 10/19/22)</w:t>
      </w:r>
      <w:r>
        <w:rPr>
          <w:rFonts w:ascii="Times New Roman" w:hAnsi="Times New Roman"/>
          <w:b w:val="false"/>
          <w:i w:val="false"/>
          <w:color w:val="000000"/>
          <w:sz w:val="21"/>
        </w:rPr>
        <w:t>, IAB 1/11/23, effective 2/15/23]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co/chapter/542B.pdf" Type="http://schemas.openxmlformats.org/officeDocument/2006/relationships/hyperlink" Id="rId7"/>
    <Relationship TargetMode="External" Target="https://www.legis.iowa.gov/docs/ico/chapter/543B.pdf" Type="http://schemas.openxmlformats.org/officeDocument/2006/relationships/hyperlink" Id="rId8"/>
    <Relationship TargetMode="External" Target="https://www.legis.iowa.gov/docs/ico/chapter/544A.pdf" Type="http://schemas.openxmlformats.org/officeDocument/2006/relationships/hyperlink" Id="rId9"/>
    <Relationship TargetMode="External" Target="https://www.legis.iowa.gov/docs/ico/chapter/544B.pdf" Type="http://schemas.openxmlformats.org/officeDocument/2006/relationships/hyperlink" Id="rId10"/>
    <Relationship TargetMode="External" Target="https://www.legis.iowa.gov/docs/ico/chapter/544C.pdf" Type="http://schemas.openxmlformats.org/officeDocument/2006/relationships/hyperlink" Id="rId11"/>
    <Relationship TargetMode="External" Target="https://www.legis.iowa.gov/docs/ico/chapter/17A.3.pdf" Type="http://schemas.openxmlformats.org/officeDocument/2006/relationships/hyperlink" Id="rId12"/>
    <Relationship TargetMode="External" Target="https://www.legis.iowa.gov/docs/ico/chapter/524.208.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