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BOARD OF BEHAVORIAL HEALTH PROFESSIONALS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880</w:t>
      </w:r>
    </w:p>
    <w:p>
      <w:pPr>
        <w:spacing w:before="0" w:after="0"/>
        <w:ind w:left="120"/>
        <w:jc w:val="center"/>
      </w:pPr>
      <w:r>
        <w:rPr>
          <w:rFonts w:ascii="Times New Roman" w:hAnsi="Times New Roman"/>
          <w:b w:val="false"/>
          <w:i w:val="false"/>
          <w:color w:val="000000"/>
          <w:sz w:val="21"/>
        </w:rPr>
        <w:t>BEHAVIORAL HEALTH PROFESSIONALS LICENSING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8/13/30</w:t>
      </w:r>
    </w:p>
    <w:p>
      <w:pPr>
        <w:spacing w:before="0" w:after="0"/>
        <w:ind w:left="120"/>
        <w:jc w:val="both"/>
      </w:pPr>
      <w:r>
        <w:rPr>
          <w:rFonts w:ascii="Times New Roman" w:hAnsi="Times New Roman"/>
          <w:b/>
          <w:i w:val="false"/>
          <w:color w:val="000000"/>
          <w:sz w:val="22"/>
        </w:rPr>
        <w:t>481—880.1</w:t>
      </w:r>
      <w:r>
        <w:rPr>
          <w:rFonts w:ascii="Times New Roman" w:hAnsi="Times New Roman"/>
          <w:b/>
          <w:i w:val="false"/>
          <w:color w:val="000000"/>
          <w:sz w:val="22"/>
        </w:rPr>
        <w:t xml:space="preserve">(148,154B,154C,154D)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“AMFTRB” </w:t>
      </w:r>
      <w:r>
        <w:rPr>
          <w:rFonts w:ascii="Times New Roman" w:hAnsi="Times New Roman"/>
          <w:b w:val="false"/>
          <w:i w:val="false"/>
          <w:color w:val="000000"/>
          <w:sz w:val="22"/>
        </w:rPr>
        <w:t>means the Association of Marital and Family Therapy Regulatory Boards.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“ASPPB” </w:t>
      </w:r>
      <w:r>
        <w:rPr>
          <w:rFonts w:ascii="Times New Roman" w:hAnsi="Times New Roman"/>
          <w:b w:val="false"/>
          <w:i w:val="false"/>
          <w:color w:val="000000"/>
          <w:sz w:val="22"/>
        </w:rPr>
        <w:t>means the Association of State and Provincial Psychology Boards.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“ASWB” </w:t>
      </w:r>
      <w:r>
        <w:rPr>
          <w:rFonts w:ascii="Times New Roman" w:hAnsi="Times New Roman"/>
          <w:b w:val="false"/>
          <w:i w:val="false"/>
          <w:color w:val="000000"/>
          <w:sz w:val="22"/>
        </w:rPr>
        <w:t>means the Association of Social Work Boards.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“BACB” </w:t>
      </w:r>
      <w:r>
        <w:rPr>
          <w:rFonts w:ascii="Times New Roman" w:hAnsi="Times New Roman"/>
          <w:b w:val="false"/>
          <w:i w:val="false"/>
          <w:color w:val="000000"/>
          <w:sz w:val="22"/>
        </w:rPr>
        <w:t>means the Behavior Analyst Certification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behavioral health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“CCE” </w:t>
      </w:r>
      <w:r>
        <w:rPr>
          <w:rFonts w:ascii="Times New Roman" w:hAnsi="Times New Roman"/>
          <w:b w:val="false"/>
          <w:i w:val="false"/>
          <w:color w:val="000000"/>
          <w:sz w:val="22"/>
        </w:rPr>
        <w:t>means the Center for Credentialing and Education, Inc.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health service provider in psychology” </w:t>
      </w:r>
      <w:r>
        <w:rPr>
          <w:rFonts w:ascii="Times New Roman" w:hAnsi="Times New Roman"/>
          <w:b w:val="false"/>
          <w:i w:val="false"/>
          <w:color w:val="000000"/>
          <w:sz w:val="22"/>
        </w:rPr>
        <w:t>means a person who works in a clinical setting, who is licensed to practice psychology and who has a doctoral degree in psychology. A person certified as a health service provider in psychology shall be deemed qualified to diagnose or evaluate mental illness and nervous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“Course” </w:t>
      </w:r>
      <w:r>
        <w:rPr>
          <w:rFonts w:ascii="Times New Roman" w:hAnsi="Times New Roman"/>
          <w:b w:val="false"/>
          <w:i w:val="false"/>
          <w:color w:val="000000"/>
          <w:sz w:val="22"/>
        </w:rPr>
        <w:t>means three graduate semester credit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means the 30-day period following expiration of a license when the license is still considered to be 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“NBCC” </w:t>
      </w:r>
      <w:r>
        <w:rPr>
          <w:rFonts w:ascii="Times New Roman" w:hAnsi="Times New Roman"/>
          <w:b w:val="false"/>
          <w:i w:val="false"/>
          <w:color w:val="000000"/>
          <w:sz w:val="22"/>
        </w:rPr>
        <w:t>means the National Board for Certified Counselors.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“Provisional license” </w:t>
      </w:r>
      <w:r>
        <w:rPr>
          <w:rFonts w:ascii="Times New Roman" w:hAnsi="Times New Roman"/>
          <w:b w:val="false"/>
          <w:i w:val="false"/>
          <w:color w:val="000000"/>
          <w:sz w:val="22"/>
        </w:rPr>
        <w:t>means a license issued to a person who is completing a predoctoral internship or postdoctoral residency under supervision in order to satisfy the requirements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rules </w:t>
      </w:r>
      <w:hyperlink r:id="rId5">
        <w:r>
          <w:rPr>
            <w:rStyle w:val="Hyperlink"/>
            <w:rFonts w:ascii="Times New Roman" w:hAnsi="Times New Roman"/>
            <w:b w:val="false"/>
            <w:i w:val="false"/>
            <w:color w:val="000000"/>
            <w:sz w:val="22"/>
          </w:rPr>
          <w:t>481—880.11</w:t>
        </w:r>
      </w:hyperlink>
      <w:r>
        <w:rPr>
          <w:rFonts w:ascii="Times New Roman" w:hAnsi="Times New Roman"/>
          <w:b w:val="false"/>
          <w:i w:val="false"/>
          <w:color w:val="000000"/>
          <w:sz w:val="22"/>
        </w:rPr>
        <w:t xml:space="preserve">(272C) and </w:t>
      </w:r>
      <w:hyperlink r:id="rId6">
        <w:r>
          <w:rPr>
            <w:rStyle w:val="Hyperlink"/>
            <w:rFonts w:ascii="Times New Roman" w:hAnsi="Times New Roman"/>
            <w:b w:val="false"/>
            <w:i w:val="false"/>
            <w:color w:val="000000"/>
            <w:sz w:val="22"/>
          </w:rPr>
          <w:t>481—880.14</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7">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 Once the license is reinstated, the licensee may apply for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“Temporary license” </w:t>
      </w:r>
      <w:r>
        <w:rPr>
          <w:rFonts w:ascii="Times New Roman" w:hAnsi="Times New Roman"/>
          <w:b w:val="false"/>
          <w:i w:val="false"/>
          <w:color w:val="000000"/>
          <w:sz w:val="22"/>
        </w:rPr>
        <w:t>means a license to practice marital and family therapy or mental health counseling under direct supervision of a qualified supervisor as determined by the board by rule to fulfill the postgraduate supervised clinical experience requirement in accordance with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9401C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481—880.2</w:t>
      </w:r>
      <w:r>
        <w:rPr>
          <w:rFonts w:ascii="Times New Roman" w:hAnsi="Times New Roman"/>
          <w:b/>
          <w:i w:val="false"/>
          <w:color w:val="000000"/>
          <w:sz w:val="22"/>
        </w:rPr>
        <w:t xml:space="preserve">(154B,154C,154D) </w:t>
      </w:r>
      <w:r>
        <w:rPr>
          <w:rFonts w:ascii="Times New Roman" w:hAnsi="Times New Roman"/>
          <w:b/>
          <w:i w:val="false"/>
          <w:color w:val="000000"/>
          <w:sz w:val="22"/>
        </w:rPr>
        <w:t xml:space="preserve">License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880.2(1)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permanent and temporary licensure as a mental health counselor or marriage and family therapist. </w:t>
      </w:r>
      <w:r>
        <w:rPr>
          <w:rFonts w:ascii="Times New Roman" w:hAnsi="Times New Roman"/>
          <w:b w:val="false"/>
          <w:i w:val="false"/>
          <w:color w:val="000000"/>
          <w:sz w:val="22"/>
        </w:rPr>
        <w:t>The following criteria shall apply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submit a completed online application for licensure and pay the nonrefundable licensure fee specified in rule </w:t>
      </w:r>
      <w:hyperlink r:id="rId8">
        <w:r>
          <w:rPr>
            <w:rStyle w:val="Hyperlink"/>
            <w:rFonts w:ascii="Times New Roman" w:hAnsi="Times New Roman"/>
            <w:b w:val="false"/>
            <w:i w:val="false"/>
            <w:color w:val="000000"/>
            <w:sz w:val="22"/>
          </w:rPr>
          <w:t>481—507.3</w:t>
        </w:r>
      </w:hyperlink>
      <w:r>
        <w:rPr>
          <w:rFonts w:ascii="Times New Roman" w:hAnsi="Times New Roman"/>
          <w:b w:val="false"/>
          <w:i w:val="false"/>
          <w:color w:val="000000"/>
          <w:sz w:val="22"/>
        </w:rPr>
        <w:t>(147,154D).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for a mental health counseling license shall submit two completed fingerprint cards and a signed waiver form to facilitate a national criminal history background check by the Iowa division of criminal investigation (DCI) and the Federal Bureau of Investigation (FBI). The cost of the criminal history background check by the DCI and the FBI shall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application will be considered by the board until official copies of academic transcripts sent directly from the school to the board have been received by the board or an equivalency evaluation completed by the CCE has been received by the board. The applicant shall present proof of meeting the educational requirements. Documentation of such proof shall be on file in the board office with the application and include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licensure as a marital and family therapist, an official transcript verifying completion of a marital and family therapy program accredited by the Commission on Accreditation for Marriage and Family Therapy Education (COAMFTE) as defined in paragraph </w:t>
      </w:r>
      <w:hyperlink r:id="rId9">
        <w:r>
          <w:rPr>
            <w:rStyle w:val="Hyperlink"/>
            <w:rFonts w:ascii="Times New Roman" w:hAnsi="Times New Roman"/>
            <w:b w:val="false"/>
            <w:i w:val="false"/>
            <w:color w:val="000000"/>
            <w:sz w:val="22"/>
          </w:rPr>
          <w:t>880.4(1)</w:t>
        </w:r>
      </w:hyperlink>
      <w:r>
        <w:rPr>
          <w:rFonts w:ascii="Times New Roman" w:hAnsi="Times New Roman"/>
          <w:b w:val="false"/>
          <w:i/>
          <w:color w:val="000000"/>
          <w:sz w:val="22"/>
        </w:rPr>
        <w:t>“a”</w:t>
      </w:r>
      <w:r>
        <w:rPr>
          <w:rFonts w:ascii="Times New Roman" w:hAnsi="Times New Roman"/>
          <w:b w:val="false"/>
          <w:i w:val="false"/>
          <w:color w:val="000000"/>
          <w:sz w:val="22"/>
        </w:rPr>
        <w:t xml:space="preserve"> or an equivalency evaluation of the applicant’s educational credentials completed by the CCE as defined in paragraph </w:t>
      </w:r>
      <w:hyperlink r:id="rId10">
        <w:r>
          <w:rPr>
            <w:rStyle w:val="Hyperlink"/>
            <w:rFonts w:ascii="Times New Roman" w:hAnsi="Times New Roman"/>
            <w:b w:val="false"/>
            <w:i w:val="false"/>
            <w:color w:val="000000"/>
            <w:sz w:val="22"/>
          </w:rPr>
          <w:t>880.4(1)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licensure as a mental health counselor, an official transcript verifying completion of a mental health counseling program accredited by the Council on Accreditation of Counseling and Related Educational Programs (CACREP) as defined in paragraph </w:t>
      </w:r>
      <w:hyperlink r:id="rId11">
        <w:r>
          <w:rPr>
            <w:rStyle w:val="Hyperlink"/>
            <w:rFonts w:ascii="Times New Roman" w:hAnsi="Times New Roman"/>
            <w:b w:val="false"/>
            <w:i w:val="false"/>
            <w:color w:val="000000"/>
            <w:sz w:val="22"/>
          </w:rPr>
          <w:t>880.4(2)</w:t>
        </w:r>
      </w:hyperlink>
      <w:r>
        <w:rPr>
          <w:rFonts w:ascii="Times New Roman" w:hAnsi="Times New Roman"/>
          <w:b w:val="false"/>
          <w:i/>
          <w:color w:val="000000"/>
          <w:sz w:val="22"/>
        </w:rPr>
        <w:t>“a”</w:t>
      </w:r>
      <w:r>
        <w:rPr>
          <w:rFonts w:ascii="Times New Roman" w:hAnsi="Times New Roman"/>
          <w:b w:val="false"/>
          <w:i w:val="false"/>
          <w:color w:val="000000"/>
          <w:sz w:val="22"/>
        </w:rPr>
        <w:t xml:space="preserve"> or an equivalency evaluation of the applicant’s educational credentials completed by the CCE as defined in paragraph </w:t>
      </w:r>
      <w:hyperlink r:id="rId12">
        <w:r>
          <w:rPr>
            <w:rStyle w:val="Hyperlink"/>
            <w:rFonts w:ascii="Times New Roman" w:hAnsi="Times New Roman"/>
            <w:b w:val="false"/>
            <w:i w:val="false"/>
            <w:color w:val="000000"/>
            <w:sz w:val="22"/>
          </w:rPr>
          <w:t>880.4(2)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is required to take the examination(s) provided in subrule </w:t>
      </w:r>
      <w:hyperlink r:id="rId13">
        <w:r>
          <w:rPr>
            <w:rStyle w:val="Hyperlink"/>
            <w:rFonts w:ascii="Times New Roman" w:hAnsi="Times New Roman"/>
            <w:b w:val="false"/>
            <w:i w:val="false"/>
            <w:color w:val="000000"/>
            <w:sz w:val="22"/>
          </w:rPr>
          <w:t>880.3(1)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for permanent licensure shall submit the required attestation of supervision forms documenting clinical experience as required in rule </w:t>
      </w:r>
      <w:hyperlink r:id="rId14">
        <w:r>
          <w:rPr>
            <w:rStyle w:val="Hyperlink"/>
            <w:rFonts w:ascii="Times New Roman" w:hAnsi="Times New Roman"/>
            <w:b w:val="false"/>
            <w:i w:val="false"/>
            <w:color w:val="000000"/>
            <w:sz w:val="22"/>
          </w:rPr>
          <w:t>481—880.7</w:t>
        </w:r>
      </w:hyperlink>
      <w:r>
        <w:rPr>
          <w:rFonts w:ascii="Times New Roman" w:hAnsi="Times New Roman"/>
          <w:b w:val="false"/>
          <w:i w:val="false"/>
          <w:color w:val="000000"/>
          <w:sz w:val="22"/>
        </w:rPr>
        <w:t>(154D).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applicant for temporary licensure must submit a supervision plan to the board prior to licensure. Within 30 days of completion of the supervised clinical experience, the attestation of the completed supervised experience must be submitted to the board office. The temporary licensee shall remain under supervision until a permanent license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temporary license is only valid for the purpose of fulfilling the postgraduate supervised clinical experience requirement. It is valid for three years and may be renewed at the discretion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licensee who was issued an initial permanent license within six months prior to the renewal shall not be required to renew the license until the renewal date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 application for a temporary or permanent license will be considered active for two years from the date the application is received. If the applicant does not submit all materials within this time period or if the applicant does not meet the requirements for the license, the application shall be considered incomplete. An applicant whose application is filed incomplete must submit a new application, supporting materials, and the application fee. The board shall destroy incomplete applications after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880.2(2)</w:t>
      </w:r>
      <w:r>
        <w:rPr>
          <w:rFonts w:ascii="Times New Roman" w:hAnsi="Times New Roman"/>
          <w:b w:val="false"/>
          <w:i w:val="false"/>
          <w:color w:val="000000"/>
          <w:sz w:val="22"/>
        </w:rPr>
        <w:t> </w:t>
      </w:r>
      <w:r>
        <w:rPr>
          <w:rFonts w:ascii="Times New Roman" w:hAnsi="Times New Roman"/>
          <w:b w:val="false"/>
          <w:i/>
          <w:color w:val="000000"/>
          <w:sz w:val="22"/>
        </w:rPr>
        <w:t xml:space="preserve">Licensure of behavior analysts and assistant behavior analysts.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submit a completed application for licensure and pay the nonrefundable licensure fee specified in rule </w:t>
      </w:r>
      <w:hyperlink r:id="rId15">
        <w:r>
          <w:rPr>
            <w:rStyle w:val="Hyperlink"/>
            <w:rFonts w:ascii="Times New Roman" w:hAnsi="Times New Roman"/>
            <w:b w:val="false"/>
            <w:i w:val="false"/>
            <w:color w:val="000000"/>
            <w:sz w:val="22"/>
          </w:rPr>
          <w:t>481—507.3</w:t>
        </w:r>
      </w:hyperlink>
      <w:r>
        <w:rPr>
          <w:rFonts w:ascii="Times New Roman" w:hAnsi="Times New Roman"/>
          <w:b w:val="false"/>
          <w:i w:val="false"/>
          <w:color w:val="000000"/>
          <w:sz w:val="22"/>
        </w:rPr>
        <w:t>(147,154D).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licensure as a behavior analyst, the applicant shall submit proof of current BACB certification as a board-certified behavior analyst or board-certified behavior analyst-doctoral. For licensure as an assistant behavior analyst, the applicant shall submit proof of current BACB certification as a board-certified assistant behavior analyst.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880.2(3)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initial psychology licensure. </w:t>
      </w:r>
      <w:r>
        <w:rPr>
          <w:rFonts w:ascii="Times New Roman" w:hAnsi="Times New Roman"/>
          <w:b w:val="false"/>
          <w:i w:val="false"/>
          <w:color w:val="000000"/>
          <w:sz w:val="22"/>
        </w:rPr>
        <w:t>The following criteria shall apply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submit a completed application for licensure and pay the nonrefundable licensure fee specified in rule </w:t>
      </w:r>
      <w:hyperlink r:id="rId16">
        <w:r>
          <w:rPr>
            <w:rStyle w:val="Hyperlink"/>
            <w:rFonts w:ascii="Times New Roman" w:hAnsi="Times New Roman"/>
            <w:b w:val="false"/>
            <w:i w:val="false"/>
            <w:color w:val="000000"/>
            <w:sz w:val="22"/>
          </w:rPr>
          <w:t>481—507.16</w:t>
        </w:r>
      </w:hyperlink>
      <w:r>
        <w:rPr>
          <w:rFonts w:ascii="Times New Roman" w:hAnsi="Times New Roman"/>
          <w:b w:val="false"/>
          <w:i w:val="false"/>
          <w:color w:val="000000"/>
          <w:sz w:val="22"/>
        </w:rPr>
        <w:t>(147,154B).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as otherwise stated in these rules, no application will be considered by the board until: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Official copies of academic transcripts sent directly from the school to the board have been received by the board;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Satisfactory evidence of the candidate’s qualifications has been supplied in writing on the prescribed forms by the candidate’s supervisors.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shall successfully pass the national Examination for Professional Practice in Psychology (EPPP).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shall have the national examination score sent directly from the ASPPB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without additional supporting documentation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Considered invalid and shall be destroyed;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Maintained upon written request of the applicant. The applicant is responsible for requesting that the file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880.2(4)</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provisional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Predoctoral internship. </w:t>
      </w:r>
      <w:r>
        <w:rPr>
          <w:rFonts w:ascii="Times New Roman" w:hAnsi="Times New Roman"/>
          <w:b w:val="false"/>
          <w:i w:val="false"/>
          <w:color w:val="000000"/>
          <w:sz w:val="22"/>
        </w:rPr>
        <w:t>An applicant for a provisional license for purposes of completing a predoctoral internship shall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completed provisional application for licensure and the nonrefundable licensure fee specified in rule </w:t>
      </w:r>
      <w:hyperlink r:id="rId17">
        <w:r>
          <w:rPr>
            <w:rStyle w:val="Hyperlink"/>
            <w:rFonts w:ascii="Times New Roman" w:hAnsi="Times New Roman"/>
            <w:b w:val="false"/>
            <w:i w:val="false"/>
            <w:color w:val="000000"/>
            <w:sz w:val="22"/>
          </w:rPr>
          <w:t>481—507.16</w:t>
        </w:r>
      </w:hyperlink>
      <w:r>
        <w:rPr>
          <w:rFonts w:ascii="Times New Roman" w:hAnsi="Times New Roman"/>
          <w:b w:val="false"/>
          <w:i w:val="false"/>
          <w:color w:val="000000"/>
          <w:sz w:val="22"/>
        </w:rPr>
        <w:t>(147,154B).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the applicant’s acceptance letter for the predoctoral internship.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Identification of the training director and the training director’s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that the applicant is enrolled in an educational program that meets the requirements of rule </w:t>
      </w:r>
      <w:hyperlink r:id="rId18">
        <w:r>
          <w:rPr>
            <w:rStyle w:val="Hyperlink"/>
            <w:rFonts w:ascii="Times New Roman" w:hAnsi="Times New Roman"/>
            <w:b w:val="false"/>
            <w:i w:val="false"/>
            <w:color w:val="000000"/>
            <w:sz w:val="22"/>
          </w:rPr>
          <w:t>481—880.4</w:t>
        </w:r>
      </w:hyperlink>
      <w:r>
        <w:rPr>
          <w:rFonts w:ascii="Times New Roman" w:hAnsi="Times New Roman"/>
          <w:b w:val="false"/>
          <w:i w:val="false"/>
          <w:color w:val="000000"/>
          <w:sz w:val="22"/>
        </w:rPr>
        <w:t>(154B,154C,154D).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Postdoctoral residency. </w:t>
      </w:r>
      <w:r>
        <w:rPr>
          <w:rFonts w:ascii="Times New Roman" w:hAnsi="Times New Roman"/>
          <w:b w:val="false"/>
          <w:i w:val="false"/>
          <w:color w:val="000000"/>
          <w:sz w:val="22"/>
        </w:rPr>
        <w:t>An applicant for a provisional license for purposes of completing a postdoctoral residency shall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completed application for licensure and the nonrefundable licensure fee specified in rule </w:t>
      </w:r>
      <w:hyperlink r:id="rId19">
        <w:r>
          <w:rPr>
            <w:rStyle w:val="Hyperlink"/>
            <w:rFonts w:ascii="Times New Roman" w:hAnsi="Times New Roman"/>
            <w:b w:val="false"/>
            <w:i w:val="false"/>
            <w:color w:val="000000"/>
            <w:sz w:val="22"/>
          </w:rPr>
          <w:t>481—507.16</w:t>
        </w:r>
      </w:hyperlink>
      <w:r>
        <w:rPr>
          <w:rFonts w:ascii="Times New Roman" w:hAnsi="Times New Roman"/>
          <w:b w:val="false"/>
          <w:i w:val="false"/>
          <w:color w:val="000000"/>
          <w:sz w:val="22"/>
        </w:rPr>
        <w:t>(147,154B).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Official copies of academic transcripts sent directly from the school establishing that the requirements stated in subrule </w:t>
      </w:r>
      <w:hyperlink r:id="rId20">
        <w:r>
          <w:rPr>
            <w:rStyle w:val="Hyperlink"/>
            <w:rFonts w:ascii="Times New Roman" w:hAnsi="Times New Roman"/>
            <w:b w:val="false"/>
            <w:i w:val="false"/>
            <w:color w:val="000000"/>
            <w:sz w:val="22"/>
          </w:rPr>
          <w:t>880.4(4)</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completed supervision plan on the prescribed board form, signed by the applicant’s supervisors. A change in supervisor or in the supervision plan requires submission of a new supervision plan on the prescribed board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Duration. </w:t>
      </w:r>
      <w:r>
        <w:rPr>
          <w:rFonts w:ascii="Times New Roman" w:hAnsi="Times New Roman"/>
          <w:b w:val="false"/>
          <w:i w:val="false"/>
          <w:color w:val="000000"/>
          <w:sz w:val="22"/>
        </w:rPr>
        <w:t>The provisional license is effective for two years from the date of issuance. A provisional license issued for purposes of completing a predoctoral internship can be used for purposes of completing a postdoctoral residency until the provisional license expires. The provisional licensee shall submit a completed supervision plan on the prescribed board form, signed by the licensee’s supervisors, prior to beginning the postdoctoral residency. A change in supervisor or in the supervision plan requires submission of a new supervision plan on the prescribed board form. A provisional license may be renewed one time for a period of two years upon submission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provisional license renewal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provisional license renewal fee;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current supervision plan as required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880.2(5)</w:t>
      </w:r>
      <w:r>
        <w:rPr>
          <w:rFonts w:ascii="Times New Roman" w:hAnsi="Times New Roman"/>
          <w:b w:val="false"/>
          <w:i w:val="false"/>
          <w:color w:val="000000"/>
          <w:sz w:val="22"/>
        </w:rPr>
        <w:t> </w:t>
      </w:r>
      <w:r>
        <w:rPr>
          <w:rFonts w:ascii="Times New Roman" w:hAnsi="Times New Roman"/>
          <w:b w:val="false"/>
          <w:i/>
          <w:color w:val="000000"/>
          <w:sz w:val="22"/>
        </w:rPr>
        <w:t xml:space="preserve">Certified health service provider in psychology.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the health service provider in psychology. </w:t>
      </w:r>
      <w:r>
        <w:rPr>
          <w:rFonts w:ascii="Times New Roman" w:hAnsi="Times New Roman"/>
          <w:b w:val="false"/>
          <w:i w:val="false"/>
          <w:color w:val="000000"/>
          <w:sz w:val="22"/>
        </w:rPr>
        <w:t>The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Verify at least one year of clinical experience in an organized health service training program that meets the requirements of paragraph </w:t>
      </w:r>
      <w:hyperlink r:id="rId21">
        <w:r>
          <w:rPr>
            <w:rStyle w:val="Hyperlink"/>
            <w:rFonts w:ascii="Times New Roman" w:hAnsi="Times New Roman"/>
            <w:b w:val="false"/>
            <w:i w:val="false"/>
            <w:color w:val="000000"/>
            <w:sz w:val="22"/>
          </w:rPr>
          <w:t>880.2(5)</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at least one year of clinical experience in a health service setting that meets the requirements for postdoctoral residency stated in rule </w:t>
      </w:r>
      <w:hyperlink r:id="rId22">
        <w:r>
          <w:rPr>
            <w:rStyle w:val="Hyperlink"/>
            <w:rFonts w:ascii="Times New Roman" w:hAnsi="Times New Roman"/>
            <w:b w:val="false"/>
            <w:i w:val="false"/>
            <w:color w:val="000000"/>
            <w:sz w:val="22"/>
          </w:rPr>
          <w:t>481—880.8</w:t>
        </w:r>
      </w:hyperlink>
      <w:r>
        <w:rPr>
          <w:rFonts w:ascii="Times New Roman" w:hAnsi="Times New Roman"/>
          <w:b w:val="false"/>
          <w:i w:val="false"/>
          <w:color w:val="000000"/>
          <w:sz w:val="22"/>
        </w:rPr>
        <w:t>(154B). Alternatively, an applicant may submit verification of current registration at the doctoral level by the National Register of Health Service Psychologists to verify completion of the required clinical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a completed application and nonrefundable application fee along with supporting documentation. Incomplete applications that have been on file in the board office for more than two years without additional supporting documentation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Considered invalid and shall be destroyed;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Maintained upon written request of the applicant. The applicant is responsible for requesting that the file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Renew the certificate biennially at the same time as the psychology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Requirements of the organized health service training program. </w:t>
      </w:r>
      <w:r>
        <w:rPr>
          <w:rFonts w:ascii="Times New Roman" w:hAnsi="Times New Roman"/>
          <w:b w:val="false"/>
          <w:i w:val="false"/>
          <w:color w:val="000000"/>
          <w:sz w:val="22"/>
        </w:rPr>
        <w:t>Internship programs in professional psychology that are accredited by the American Psychological Association (APA) or the Canadian Psychological Association (CPA) or that hold membership in the Association of Psychology Postdoctoral and Internship Centers (APPIC) are deemed approved. Applicants completing an organized health service training program that is not accredited by the APA or the CPA, or is not APPIC-designated at the time the applicant completes the training shall cause documentation to be sent from the program to establish that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Provides the intern with a planned, programmed sequence of training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a clearly designated doctoral-level staff psychologist who is responsible for the integrity and quality of the training program and is actively licensed by the board of psychology in the jurisdiction in which the program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two or more doctoral-level psychologists on the staff who serve as supervisors, at least one of whom is actively licensed by the board of psychology in the jurisdiction in which the program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Has supervision that is provided by staff members of the organized health service training program or by an affiliate of the organized health service training program who carries clinical responsibility for the cases being supervised. At least half of the internship supervision shall be provided by one or more doctoral-level psychologists.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Provides training in a range of psychological assessment and treatment activities conducted directly with recipients of psychological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Ensures that trainees have a minimum of 375 hours of direct patient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Includes a minimum of two hours per week (regardless of whether the internship is completed in one year or two years) of regularly scheduled, formal, face-to-face individual supervision with the specific intent of dealing with psychological services rendered directly by the intern. There must also be at least two additional hours per week in learning activities such as case conferences involving a case in which the intern is actively involved, seminars dealing with clinical issues, cotherapy with a staff person including discussion, group supervision, and additional individual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Has training that is at the postclerkship, postpracticum, and postexternship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Has a minimum of two interns at the internship level of training during any period of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Designates for internship-level trainees titles such as “intern,” “resident,” “fellow,” or other designation of trainee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Has a written statement or brochure that describes the goals and content of the internship, states clear expectations for quantity and quality of trainees’ work and is made available to prospective interns.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Provides a minimum of 1,500 hours of training experience that shall be completed in no less than 12 months within a 24-consecutive-month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880.2(6)</w:t>
      </w:r>
      <w:r>
        <w:rPr>
          <w:rFonts w:ascii="Times New Roman" w:hAnsi="Times New Roman"/>
          <w:b w:val="false"/>
          <w:i w:val="false"/>
          <w:color w:val="000000"/>
          <w:sz w:val="22"/>
        </w:rPr>
        <w:t> </w:t>
      </w:r>
      <w:r>
        <w:rPr>
          <w:rFonts w:ascii="Times New Roman" w:hAnsi="Times New Roman"/>
          <w:b w:val="false"/>
          <w:i/>
          <w:color w:val="000000"/>
          <w:sz w:val="22"/>
        </w:rPr>
        <w:t xml:space="preserve">Exemption to licensure. </w:t>
      </w:r>
      <w:r>
        <w:rPr>
          <w:rFonts w:ascii="Times New Roman" w:hAnsi="Times New Roman"/>
          <w:b w:val="false"/>
          <w:i w:val="false"/>
          <w:color w:val="000000"/>
          <w:sz w:val="22"/>
        </w:rPr>
        <w:t xml:space="preserve">Psychologists residing outside the state of Iowa and intending to practice in Iowa under the provisions of Iowa Code section </w:t>
      </w:r>
      <w:hyperlink r:id="rId23">
        <w:r>
          <w:rPr>
            <w:rStyle w:val="Hyperlink"/>
            <w:rFonts w:ascii="Times New Roman" w:hAnsi="Times New Roman"/>
            <w:b w:val="false"/>
            <w:i w:val="false"/>
            <w:color w:val="000000"/>
            <w:sz w:val="22"/>
          </w:rPr>
          <w:t>154B.3(5)</w:t>
        </w:r>
      </w:hyperlink>
      <w:r>
        <w:rPr>
          <w:rFonts w:ascii="Times New Roman" w:hAnsi="Times New Roman"/>
          <w:b w:val="false"/>
          <w:i w:val="false"/>
          <w:color w:val="000000"/>
          <w:sz w:val="22"/>
        </w:rPr>
        <w:t xml:space="preserve"> shall complete and submit the application for the exemption to licensure and the nonrefundable licensure fee specified in rule </w:t>
      </w:r>
      <w:hyperlink r:id="rId24">
        <w:r>
          <w:rPr>
            <w:rStyle w:val="Hyperlink"/>
            <w:rFonts w:ascii="Times New Roman" w:hAnsi="Times New Roman"/>
            <w:b w:val="false"/>
            <w:i w:val="false"/>
            <w:color w:val="000000"/>
            <w:sz w:val="22"/>
          </w:rPr>
          <w:t>481—507.16</w:t>
        </w:r>
      </w:hyperlink>
      <w:r>
        <w:rPr>
          <w:rFonts w:ascii="Times New Roman" w:hAnsi="Times New Roman"/>
          <w:b w:val="false"/>
          <w:i w:val="false"/>
          <w:color w:val="000000"/>
          <w:sz w:val="22"/>
        </w:rPr>
        <w:t>(147,154B).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a summary of the intent to practice and a verification of the license in the applicant’s jurisdiction of residence, sent directly from the jurisdiction to the board office.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exemption must be issued prior to practice in Iowa. The exemption shall be valid for 10 consecutive business days or not to exceed 15 business days in any 90-day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880.2(7)</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social work licensure. </w:t>
      </w:r>
      <w:r>
        <w:rPr>
          <w:rFonts w:ascii="Times New Roman" w:hAnsi="Times New Roman"/>
          <w:b w:val="false"/>
          <w:i w:val="false"/>
          <w:color w:val="000000"/>
          <w:sz w:val="22"/>
        </w:rPr>
        <w:t>The following criteria shall apply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submit a completed application for licensure and pay the nonrefundable licensure fee specified in rule </w:t>
      </w:r>
      <w:hyperlink r:id="rId25">
        <w:r>
          <w:rPr>
            <w:rStyle w:val="Hyperlink"/>
            <w:rFonts w:ascii="Times New Roman" w:hAnsi="Times New Roman"/>
            <w:b w:val="false"/>
            <w:i w:val="false"/>
            <w:color w:val="000000"/>
            <w:sz w:val="22"/>
          </w:rPr>
          <w:t>481—507.19</w:t>
        </w:r>
      </w:hyperlink>
      <w:r>
        <w:rPr>
          <w:rFonts w:ascii="Times New Roman" w:hAnsi="Times New Roman"/>
          <w:b w:val="false"/>
          <w:i w:val="false"/>
          <w:color w:val="000000"/>
          <w:sz w:val="22"/>
        </w:rPr>
        <w:t>(147,154C).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 application will be considered by the board until official copies of academic transcripts have been received by the board except as provided in paragraph </w:t>
      </w:r>
      <w:hyperlink r:id="rId26">
        <w:r>
          <w:rPr>
            <w:rStyle w:val="Hyperlink"/>
            <w:rFonts w:ascii="Times New Roman" w:hAnsi="Times New Roman"/>
            <w:b w:val="false"/>
            <w:i w:val="false"/>
            <w:color w:val="000000"/>
            <w:sz w:val="22"/>
          </w:rPr>
          <w:t>880.2(7)</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provides verification of license from the jurisdiction in which the applicant has most recently been licensed, sent directly from the jurisdiction to the board office. The applicant must also disclose any public or pending complaints against the applicant in any other jurisdiction.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will take the examination(s) provided in subrule </w:t>
      </w:r>
      <w:hyperlink r:id="rId27">
        <w:r>
          <w:rPr>
            <w:rStyle w:val="Hyperlink"/>
            <w:rFonts w:ascii="Times New Roman" w:hAnsi="Times New Roman"/>
            <w:b w:val="false"/>
            <w:i w:val="false"/>
            <w:color w:val="000000"/>
            <w:sz w:val="22"/>
          </w:rPr>
          <w:t>880.3(3)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Licensees who were issued their initial licenses within six months prior to the renewal shall not be required to renew their licenses until the renewal date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Considered invalid and be destroyed;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Maintained upon written request of the applicant. The applicant is responsible for requesting that the file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the requirements in paragraphs </w:t>
      </w:r>
      <w:hyperlink r:id="rId28">
        <w:r>
          <w:rPr>
            <w:rStyle w:val="Hyperlink"/>
            <w:rFonts w:ascii="Times New Roman" w:hAnsi="Times New Roman"/>
            <w:b w:val="false"/>
            <w:i w:val="false"/>
            <w:color w:val="000000"/>
            <w:sz w:val="22"/>
          </w:rPr>
          <w:t>880.2(7)</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the board will accept the ASWB Social Work Registry verification of academic transcripts and verification of licensure in other states.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9401C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481—880.3</w:t>
      </w:r>
      <w:r>
        <w:rPr>
          <w:rFonts w:ascii="Times New Roman" w:hAnsi="Times New Roman"/>
          <w:b/>
          <w:i w:val="false"/>
          <w:color w:val="000000"/>
          <w:sz w:val="22"/>
        </w:rPr>
        <w:t xml:space="preserve">(154B,154C,154D) </w:t>
      </w:r>
      <w:r>
        <w:rPr>
          <w:rFonts w:ascii="Times New Roman" w:hAnsi="Times New Roman"/>
          <w:b/>
          <w:i w:val="false"/>
          <w:color w:val="000000"/>
          <w:sz w:val="22"/>
        </w:rPr>
        <w:t xml:space="preserve">Examination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880.3(1)</w:t>
      </w:r>
      <w:r>
        <w:rPr>
          <w:rFonts w:ascii="Times New Roman" w:hAnsi="Times New Roman"/>
          <w:b w:val="false"/>
          <w:i w:val="false"/>
          <w:color w:val="000000"/>
          <w:sz w:val="22"/>
        </w:rPr>
        <w:t> </w:t>
      </w:r>
      <w:r>
        <w:rPr>
          <w:rFonts w:ascii="Times New Roman" w:hAnsi="Times New Roman"/>
          <w:b w:val="false"/>
          <w:i/>
          <w:color w:val="000000"/>
          <w:sz w:val="22"/>
        </w:rPr>
        <w:t xml:space="preserve">Examination requirements for mental health counselors and marital and family therapists. </w:t>
      </w:r>
      <w:r>
        <w:rPr>
          <w:rFonts w:ascii="Times New Roman" w:hAnsi="Times New Roman"/>
          <w:b w:val="false"/>
          <w:i w:val="false"/>
          <w:color w:val="000000"/>
          <w:sz w:val="22"/>
        </w:rPr>
        <w:t>The following criteria shall apply to the written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will take and pass the following examinations in order to qualify for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 marital and family therapist license, the AMFTRB Examination in Marital and Family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 mental health counselor license, the National Clinical Mental Health Counselor Examination (NCMHCE) of the NBCC.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temporary mental health counselor license, the NCMHCE of the NBCC or the National Counselor Examination (NCE) of the NBCC.</w:t>
      </w:r>
    </w:p>
    <w:p>
      <w:pPr>
        <w:spacing w:before="0" w:after="0"/>
        <w:ind w:left="120"/>
        <w:jc w:val="both"/>
      </w:pPr>
      <w:r>
        <w:rPr>
          <w:rFonts w:ascii="Times New Roman" w:hAnsi="Times New Roman"/>
          <w:b w:val="false"/>
          <w:i w:val="false"/>
          <w:color w:val="000000"/>
          <w:sz w:val="22"/>
        </w:rPr>
        <w:t>If the NCMHCE is passed for the temporary mental health counselor license, it does not need to be taken a second time when applying for the full mental health counselor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passing score on the written examination shall be the passing point criterion established by the appropriate national testing authority at the time the test was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for a marital and family therapist license who is requesting approval to take the licensure examination prior to graduation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online application for licensure and pay the nonrefundable licensure fee specified in rule </w:t>
      </w:r>
      <w:hyperlink r:id="rId29">
        <w:r>
          <w:rPr>
            <w:rStyle w:val="Hyperlink"/>
            <w:rFonts w:ascii="Times New Roman" w:hAnsi="Times New Roman"/>
            <w:b w:val="false"/>
            <w:i w:val="false"/>
            <w:color w:val="000000"/>
            <w:sz w:val="22"/>
          </w:rPr>
          <w:t>481—507.3</w:t>
        </w:r>
      </w:hyperlink>
      <w:r>
        <w:rPr>
          <w:rFonts w:ascii="Times New Roman" w:hAnsi="Times New Roman"/>
          <w:b w:val="false"/>
          <w:i w:val="false"/>
          <w:color w:val="000000"/>
          <w:sz w:val="22"/>
        </w:rPr>
        <w:t>(147,154D).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 letter on official school letterhead sent directly from the program director to the board indicating that the applicant is in good academic standing, that the applicant will graduate from the program within three months of the date on the letter, and the applicant’s anticipated date of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applicant for a temporary or full mental health counselor license shall register for the examination directly with the NBCC.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880.3(2)</w:t>
      </w:r>
      <w:r>
        <w:rPr>
          <w:rFonts w:ascii="Times New Roman" w:hAnsi="Times New Roman"/>
          <w:b w:val="false"/>
          <w:i w:val="false"/>
          <w:color w:val="000000"/>
          <w:sz w:val="22"/>
        </w:rPr>
        <w:t> </w:t>
      </w:r>
      <w:r>
        <w:rPr>
          <w:rFonts w:ascii="Times New Roman" w:hAnsi="Times New Roman"/>
          <w:b w:val="false"/>
          <w:i/>
          <w:color w:val="000000"/>
          <w:sz w:val="22"/>
        </w:rPr>
        <w:t xml:space="preserve">Psychology examination requirements. </w:t>
      </w:r>
      <w:r>
        <w:rPr>
          <w:rFonts w:ascii="Times New Roman" w:hAnsi="Times New Roman"/>
          <w:b w:val="false"/>
          <w:i w:val="false"/>
          <w:color w:val="000000"/>
          <w:sz w:val="22"/>
        </w:rPr>
        <w:t>An applicant will pass the national examination to be eligible for licensure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be eligible to take the national examination, the applicant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Meet all requirements of paragraphs </w:t>
      </w:r>
      <w:hyperlink r:id="rId30">
        <w:r>
          <w:rPr>
            <w:rStyle w:val="Hyperlink"/>
            <w:rFonts w:ascii="Times New Roman" w:hAnsi="Times New Roman"/>
            <w:b w:val="false"/>
            <w:i w:val="false"/>
            <w:color w:val="000000"/>
            <w:sz w:val="22"/>
          </w:rPr>
          <w:t>880.2(3)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official copies of academic transcripts sent directly from the school to the board of psychology verifying completion of a doctoral degree in psychology in accordance with subrule </w:t>
      </w:r>
      <w:hyperlink r:id="rId31">
        <w:r>
          <w:rPr>
            <w:rStyle w:val="Hyperlink"/>
            <w:rFonts w:ascii="Times New Roman" w:hAnsi="Times New Roman"/>
            <w:b w:val="false"/>
            <w:i w:val="false"/>
            <w:color w:val="000000"/>
            <w:sz w:val="22"/>
          </w:rPr>
          <w:t>880.4(4)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EPPP passing score shall be utilized as the Iowa passing score.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880.3(3)</w:t>
      </w:r>
      <w:r>
        <w:rPr>
          <w:rFonts w:ascii="Times New Roman" w:hAnsi="Times New Roman"/>
          <w:b w:val="false"/>
          <w:i w:val="false"/>
          <w:color w:val="000000"/>
          <w:sz w:val="22"/>
        </w:rPr>
        <w:t> </w:t>
      </w:r>
      <w:r>
        <w:rPr>
          <w:rFonts w:ascii="Times New Roman" w:hAnsi="Times New Roman"/>
          <w:b w:val="false"/>
          <w:i/>
          <w:color w:val="000000"/>
          <w:sz w:val="22"/>
        </w:rPr>
        <w:t xml:space="preserve">Social work examination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will take and pass the ASWB examination at the appropriate level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Bachelor-level social worker—the basic level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Master-level social worker—the intermediate level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Independent-level social worker—the clinical level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will accept only official results from the ASWB examination service that are sent directly from the examination service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ASWB passing score will be utilized as the Iowa passing score.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may sit for the examination if the applicant meets the requirements stated in subrule </w:t>
      </w:r>
      <w:hyperlink r:id="rId32">
        <w:r>
          <w:rPr>
            <w:rStyle w:val="Hyperlink"/>
            <w:rFonts w:ascii="Times New Roman" w:hAnsi="Times New Roman"/>
            <w:b w:val="false"/>
            <w:i w:val="false"/>
            <w:color w:val="000000"/>
            <w:sz w:val="22"/>
          </w:rPr>
          <w:t>880.2(7)</w:t>
        </w:r>
      </w:hyperlink>
      <w:r>
        <w:rPr>
          <w:rFonts w:ascii="Times New Roman" w:hAnsi="Times New Roman"/>
          <w:b w:val="false"/>
          <w:i w:val="false"/>
          <w:color w:val="000000"/>
          <w:sz w:val="22"/>
        </w:rPr>
        <w:t>. Upon written request of the applicant, the board may authorize a student to sit for the examination prior to the receipt of the official transcript if the student is in the last semester of an approved master of social work program. The student shall submit an application for licensure at the master level and the fee, and, in lieu of a transcript, the student shall request that the school submit a letter directly to the board office. The letter shall state that the student is currently enrolled in a master of social work program and the student’s expected date of graduation. Upon completion of degree requirements, the applicant shall have the transcript showing the date of the degree sent directly from the school to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the requirements in paragraph </w:t>
      </w:r>
      <w:hyperlink r:id="rId33">
        <w:r>
          <w:rPr>
            <w:rStyle w:val="Hyperlink"/>
            <w:rFonts w:ascii="Times New Roman" w:hAnsi="Times New Roman"/>
            <w:b w:val="false"/>
            <w:i w:val="false"/>
            <w:color w:val="000000"/>
            <w:sz w:val="22"/>
          </w:rPr>
          <w:t>880.3(3)</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board will accept the ASWB Social Work Registry verification of the ASWB examination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the requirements in paragraph </w:t>
      </w:r>
      <w:hyperlink r:id="rId34">
        <w:r>
          <w:rPr>
            <w:rStyle w:val="Hyperlink"/>
            <w:rFonts w:ascii="Times New Roman" w:hAnsi="Times New Roman"/>
            <w:b w:val="false"/>
            <w:i w:val="false"/>
            <w:color w:val="000000"/>
            <w:sz w:val="22"/>
          </w:rPr>
          <w:t>880.3(3)</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board will accept verification of passing the state of California equivalent level licensing examination.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9401C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481—880.4</w:t>
      </w:r>
      <w:r>
        <w:rPr>
          <w:rFonts w:ascii="Times New Roman" w:hAnsi="Times New Roman"/>
          <w:b/>
          <w:i w:val="false"/>
          <w:color w:val="000000"/>
          <w:sz w:val="22"/>
        </w:rPr>
        <w:t xml:space="preserve">(154B,154C,154D) </w:t>
      </w:r>
      <w:r>
        <w:rPr>
          <w:rFonts w:ascii="Times New Roman" w:hAnsi="Times New Roman"/>
          <w:b/>
          <w:i w:val="false"/>
          <w:color w:val="000000"/>
          <w:sz w:val="22"/>
        </w:rPr>
        <w:t xml:space="preserve">Educational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880.4(1)</w:t>
      </w:r>
      <w:r>
        <w:rPr>
          <w:rFonts w:ascii="Times New Roman" w:hAnsi="Times New Roman"/>
          <w:b w:val="false"/>
          <w:i w:val="false"/>
          <w:color w:val="000000"/>
          <w:sz w:val="22"/>
        </w:rPr>
        <w:t> </w:t>
      </w:r>
      <w:r>
        <w:rPr>
          <w:rFonts w:ascii="Times New Roman" w:hAnsi="Times New Roman"/>
          <w:b w:val="false"/>
          <w:i/>
          <w:color w:val="000000"/>
          <w:sz w:val="22"/>
        </w:rPr>
        <w:t xml:space="preserve">Educational qualifications for marital and family therapists. </w:t>
      </w:r>
      <w:r>
        <w:rPr>
          <w:rFonts w:ascii="Times New Roman" w:hAnsi="Times New Roman"/>
          <w:b w:val="false"/>
          <w:i w:val="false"/>
          <w:color w:val="000000"/>
          <w:sz w:val="22"/>
        </w:rPr>
        <w:t xml:space="preserve">The applicant must complete the required semester credit hours, or equivalent quarter hours, of graduate level coursework in each of the content areas identified in paragraph </w:t>
      </w:r>
      <w:hyperlink r:id="rId35">
        <w:r>
          <w:rPr>
            <w:rStyle w:val="Hyperlink"/>
            <w:rFonts w:ascii="Times New Roman" w:hAnsi="Times New Roman"/>
            <w:b w:val="false"/>
            <w:i w:val="false"/>
            <w:color w:val="000000"/>
            <w:sz w:val="22"/>
          </w:rPr>
          <w:t>880.4(1)</w:t>
        </w:r>
      </w:hyperlink>
      <w:r>
        <w:rPr>
          <w:rFonts w:ascii="Times New Roman" w:hAnsi="Times New Roman"/>
          <w:b w:val="false"/>
          <w:i/>
          <w:color w:val="000000"/>
          <w:sz w:val="22"/>
        </w:rPr>
        <w:t>“b”</w:t>
      </w:r>
      <w:r>
        <w:rPr>
          <w:rFonts w:ascii="Times New Roman" w:hAnsi="Times New Roman"/>
          <w:b w:val="false"/>
          <w:i w:val="false"/>
          <w:color w:val="000000"/>
          <w:sz w:val="22"/>
        </w:rPr>
        <w:t>; no course may be used more than once. The applicant must present proof of completion of the following educational requirements for licensure as a marital and family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Accredited program. </w:t>
      </w:r>
      <w:r>
        <w:rPr>
          <w:rFonts w:ascii="Times New Roman" w:hAnsi="Times New Roman"/>
          <w:b w:val="false"/>
          <w:i w:val="false"/>
          <w:color w:val="000000"/>
          <w:sz w:val="22"/>
        </w:rPr>
        <w:t>Applicants must present with the application an official transcript verifying completion of a master’s degree of 60 semester hours (or 80 quarter hours or equivalent) or a doctoral degree in marital and family therapy from a program accredited by the COAMFTE from a college or university accredited by an agency recognized by the United States Department of Education. Applicants who entered a program of study prior to July 1, 2010, must present with the application an official transcript verifying completion of a master’s degree of 45 semester hours or the equivalent;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Content-equivalent program. </w:t>
      </w:r>
      <w:r>
        <w:rPr>
          <w:rFonts w:ascii="Times New Roman" w:hAnsi="Times New Roman"/>
          <w:b w:val="false"/>
          <w:i w:val="false"/>
          <w:color w:val="000000"/>
          <w:sz w:val="22"/>
        </w:rPr>
        <w:t xml:space="preserve">Applicants must present an official transcript verifying completion of a master’s degree of 60 semester hours (or 80 quarter hours or equivalent) or a doctoral degree in marital and family therapy, behavioral science, or a counseling-related field from a college or university accredited by an agency recognized by the United States Department of Education, which is content-equivalent to a graduate degree in marital and family therapy. Applicants who entered a program of study prior to July 1, 2010, must present with the application an official transcript verifying completion of a master’s degree of 45 semester hours or the equivalent. Graduates from non-COAMFTE-accredited marital and family therapy programs shall provide an equivalency evaluation of the graduates’ educational credentials by the CCE, website </w:t>
      </w:r>
      <w:hyperlink r:id="rId36">
        <w:r>
          <w:rPr>
            <w:rStyle w:val="Hyperlink"/>
            <w:rFonts w:ascii="Times New Roman" w:hAnsi="Times New Roman"/>
            <w:b w:val="false"/>
            <w:i w:val="false"/>
            <w:color w:val="000000"/>
            <w:sz w:val="22"/>
            <w:u w:val="single"/>
          </w:rPr>
          <w:t>cce-global.org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880.4(2)</w:t>
      </w:r>
      <w:r>
        <w:rPr>
          <w:rFonts w:ascii="Times New Roman" w:hAnsi="Times New Roman"/>
          <w:b w:val="false"/>
          <w:i w:val="false"/>
          <w:color w:val="000000"/>
          <w:sz w:val="22"/>
        </w:rPr>
        <w:t> </w:t>
      </w:r>
      <w:r>
        <w:rPr>
          <w:rFonts w:ascii="Times New Roman" w:hAnsi="Times New Roman"/>
          <w:b w:val="false"/>
          <w:i/>
          <w:color w:val="000000"/>
          <w:sz w:val="22"/>
        </w:rPr>
        <w:t xml:space="preserve">Educational qualifications for mental health counselors. </w:t>
      </w:r>
      <w:r>
        <w:rPr>
          <w:rFonts w:ascii="Times New Roman" w:hAnsi="Times New Roman"/>
          <w:b w:val="false"/>
          <w:i w:val="false"/>
          <w:color w:val="000000"/>
          <w:sz w:val="22"/>
        </w:rPr>
        <w:t xml:space="preserve">The applicant must complete three semester credit hours, or equivalent quarter hours, of graduate level coursework in each of the content areas identified in paragraph </w:t>
      </w:r>
      <w:hyperlink r:id="rId37">
        <w:r>
          <w:rPr>
            <w:rStyle w:val="Hyperlink"/>
            <w:rFonts w:ascii="Times New Roman" w:hAnsi="Times New Roman"/>
            <w:b w:val="false"/>
            <w:i w:val="false"/>
            <w:color w:val="000000"/>
            <w:sz w:val="22"/>
          </w:rPr>
          <w:t>880.4(2)</w:t>
        </w:r>
      </w:hyperlink>
      <w:r>
        <w:rPr>
          <w:rFonts w:ascii="Times New Roman" w:hAnsi="Times New Roman"/>
          <w:b w:val="false"/>
          <w:i/>
          <w:color w:val="000000"/>
          <w:sz w:val="22"/>
        </w:rPr>
        <w:t>“b”</w:t>
      </w:r>
      <w:r>
        <w:rPr>
          <w:rFonts w:ascii="Times New Roman" w:hAnsi="Times New Roman"/>
          <w:b w:val="false"/>
          <w:i w:val="false"/>
          <w:color w:val="000000"/>
          <w:sz w:val="22"/>
        </w:rPr>
        <w:t>; no course may be used to fulfill more than one content area. The applicant must present proof of completion of the following educational requirements for licensure as a mental health counselor: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Accredited program. </w:t>
      </w:r>
      <w:r>
        <w:rPr>
          <w:rFonts w:ascii="Times New Roman" w:hAnsi="Times New Roman"/>
          <w:b w:val="false"/>
          <w:i w:val="false"/>
          <w:color w:val="000000"/>
          <w:sz w:val="22"/>
        </w:rPr>
        <w:t>Applicants must present with the application an official transcript verifying completion of a master’s degree of 60 semester hours (or equivalent quarter hours) or a doctoral degree in counseling with emphasis in mental health counseling from a mental health counseling program accredited by the CACREP from a college or university accredited by an agency recognized by the United States Department of Education. Applicants who entered a program of study prior to July 1, 2012, must present with the application an official transcript verifying completion of a master’s degree of 45 semester hours or the equivalent;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Content-equivalent program. </w:t>
      </w:r>
      <w:r>
        <w:rPr>
          <w:rFonts w:ascii="Times New Roman" w:hAnsi="Times New Roman"/>
          <w:b w:val="false"/>
          <w:i w:val="false"/>
          <w:color w:val="000000"/>
          <w:sz w:val="22"/>
        </w:rPr>
        <w:t xml:space="preserve">Applicants must present an official transcript verifying completion of a master’s degree or a doctoral degree from a college or university accredited by an agency recognized by the United States Department of Education that is content-equivalent to a master’s degree in counseling with emphasis in mental health counseling. Graduates from non-CACREP accredited mental health counseling programs shall provide an equivalency evaluation of their educational credentials by the CCE, website </w:t>
      </w:r>
      <w:hyperlink r:id="rId38">
        <w:r>
          <w:rPr>
            <w:rStyle w:val="Hyperlink"/>
            <w:rFonts w:ascii="Times New Roman" w:hAnsi="Times New Roman"/>
            <w:b w:val="false"/>
            <w:i w:val="false"/>
            <w:color w:val="000000"/>
            <w:sz w:val="22"/>
            <w:u w:val="single"/>
          </w:rPr>
          <w:t>cce-global.org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880.4(3)</w:t>
      </w:r>
      <w:r>
        <w:rPr>
          <w:rFonts w:ascii="Times New Roman" w:hAnsi="Times New Roman"/>
          <w:b w:val="false"/>
          <w:i w:val="false"/>
          <w:color w:val="000000"/>
          <w:sz w:val="22"/>
        </w:rPr>
        <w:t> </w:t>
      </w:r>
      <w:r>
        <w:rPr>
          <w:rFonts w:ascii="Times New Roman" w:hAnsi="Times New Roman"/>
          <w:b w:val="false"/>
          <w:i/>
          <w:color w:val="000000"/>
          <w:sz w:val="22"/>
        </w:rPr>
        <w:t xml:space="preserve">Foreign-trained marital and family therapists or mental health counselors. </w:t>
      </w:r>
      <w:r>
        <w:rPr>
          <w:rFonts w:ascii="Times New Roman" w:hAnsi="Times New Roman"/>
          <w:b w:val="false"/>
          <w:i w:val="false"/>
          <w:color w:val="000000"/>
          <w:sz w:val="22"/>
        </w:rPr>
        <w:t>Foreign-trained marital and family therapists or mental health counselors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an equivalency evaluation of their educational credentials by the following: International Education Research Foundation, Inc., Credentials Evaluation Service, P.O. Box 3665, Culver City, CA 90231-3665; telephone 310.258.9451; website </w:t>
      </w:r>
      <w:hyperlink r:id="rId39">
        <w:r>
          <w:rPr>
            <w:rStyle w:val="Hyperlink"/>
            <w:rFonts w:ascii="Times New Roman" w:hAnsi="Times New Roman"/>
            <w:b w:val="false"/>
            <w:i w:val="false"/>
            <w:color w:val="000000"/>
            <w:sz w:val="22"/>
            <w:u w:val="single"/>
          </w:rPr>
          <w:t>www.ierf.org</w:t>
        </w:r>
      </w:hyperlink>
      <w:r>
        <w:rPr>
          <w:rFonts w:ascii="Times New Roman" w:hAnsi="Times New Roman"/>
          <w:b w:val="false"/>
          <w:i w:val="false"/>
          <w:color w:val="000000"/>
          <w:sz w:val="22"/>
        </w:rPr>
        <w:t xml:space="preserve"> or email at </w:t>
      </w:r>
      <w:hyperlink r:id="rId40">
        <w:r>
          <w:rPr>
            <w:rStyle w:val="Hyperlink"/>
            <w:rFonts w:ascii="Times New Roman" w:hAnsi="Times New Roman"/>
            <w:b w:val="false"/>
            <w:i w:val="false"/>
            <w:color w:val="000000"/>
            <w:sz w:val="22"/>
            <w:u w:val="single"/>
          </w:rPr>
          <w:t>info@ierf.org</w:t>
        </w:r>
      </w:hyperlink>
      <w:r>
        <w:rPr>
          <w:rFonts w:ascii="Times New Roman" w:hAnsi="Times New Roman"/>
          <w:b w:val="false"/>
          <w:i w:val="false"/>
          <w:color w:val="000000"/>
          <w:sz w:val="22"/>
        </w:rPr>
        <w:t>. A candidate shall bear the expense of the curriculum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Receive a final determination from the board regarding the application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880.4(4)</w:t>
      </w:r>
      <w:r>
        <w:rPr>
          <w:rFonts w:ascii="Times New Roman" w:hAnsi="Times New Roman"/>
          <w:b w:val="false"/>
          <w:i w:val="false"/>
          <w:color w:val="000000"/>
          <w:sz w:val="22"/>
        </w:rPr>
        <w:t> </w:t>
      </w:r>
      <w:r>
        <w:rPr>
          <w:rFonts w:ascii="Times New Roman" w:hAnsi="Times New Roman"/>
          <w:b w:val="false"/>
          <w:i/>
          <w:color w:val="000000"/>
          <w:sz w:val="22"/>
        </w:rPr>
        <w:t xml:space="preserve">Psychology educational qualifications. </w:t>
      </w:r>
      <w:r>
        <w:rPr>
          <w:rFonts w:ascii="Times New Roman" w:hAnsi="Times New Roman"/>
          <w:b w:val="false"/>
          <w:i w:val="false"/>
          <w:color w:val="000000"/>
          <w:sz w:val="22"/>
        </w:rPr>
        <w:t>An applicant for licensure to practice as a psychologist shall possess a doctoral degree in psychology.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the time of an applicant’s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program from which the doctoral degree in psychology is granted must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Accredited by the APA;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Accredited by the Canadian Psychological Association;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Designated by the ASPPB/National Register;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must hold current board certification from the American Board of Professional Psychology;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must possess a postdoctoral respecialization certificate from a program accredited by the APA.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Foreign-trained psychologists who possess a doctoral degree in psychology and who do not meet the requirements of paragraph </w:t>
      </w:r>
      <w:hyperlink r:id="rId41">
        <w:r>
          <w:rPr>
            <w:rStyle w:val="Hyperlink"/>
            <w:rFonts w:ascii="Times New Roman" w:hAnsi="Times New Roman"/>
            <w:b w:val="false"/>
            <w:i w:val="false"/>
            <w:color w:val="000000"/>
            <w:sz w:val="22"/>
          </w:rPr>
          <w:t>880.4(4)</w:t>
        </w:r>
      </w:hyperlink>
      <w:r>
        <w:rPr>
          <w:rFonts w:ascii="Times New Roman" w:hAnsi="Times New Roman"/>
          <w:b w:val="false"/>
          <w:i/>
          <w:color w:val="000000"/>
          <w:sz w:val="22"/>
        </w:rPr>
        <w:t>“a”</w:t>
      </w:r>
      <w:r>
        <w:rPr>
          <w:rFonts w:ascii="Times New Roman" w:hAnsi="Times New Roman"/>
          <w:b w:val="false"/>
          <w:i w:val="false"/>
          <w:color w:val="000000"/>
          <w:sz w:val="22"/>
        </w:rPr>
        <w:t xml:space="preserv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an equivalency evaluation of their educational credentials by the National Register of Health Service Psychologists, 1200 New York Avenue NW, Suite 800, Washington, D.C. 20005, telephone 202.783.7663, website </w:t>
      </w:r>
      <w:hyperlink r:id="rId42">
        <w:r>
          <w:rPr>
            <w:rStyle w:val="Hyperlink"/>
            <w:rFonts w:ascii="Times New Roman" w:hAnsi="Times New Roman"/>
            <w:b w:val="false"/>
            <w:i w:val="false"/>
            <w:color w:val="000000"/>
            <w:sz w:val="22"/>
            <w:u w:val="single"/>
          </w:rPr>
          <w:t>www.nationalregister.org</w:t>
        </w:r>
      </w:hyperlink>
      <w:r>
        <w:rPr>
          <w:rFonts w:ascii="Times New Roman" w:hAnsi="Times New Roman"/>
          <w:b w:val="false"/>
          <w:i w:val="false"/>
          <w:color w:val="000000"/>
          <w:sz w:val="22"/>
        </w:rPr>
        <w:t xml:space="preserve">, or by an evaluation service with membership in the National Association of Credential Evaluation Services at </w:t>
      </w:r>
      <w:hyperlink r:id="rId43">
        <w:r>
          <w:rPr>
            <w:rStyle w:val="Hyperlink"/>
            <w:rFonts w:ascii="Times New Roman" w:hAnsi="Times New Roman"/>
            <w:b w:val="false"/>
            <w:i w:val="false"/>
            <w:color w:val="000000"/>
            <w:sz w:val="22"/>
            <w:u w:val="single"/>
          </w:rPr>
          <w:t>www.naces.org</w:t>
        </w:r>
      </w:hyperlink>
      <w:r>
        <w:rPr>
          <w:rFonts w:ascii="Times New Roman" w:hAnsi="Times New Roman"/>
          <w:b w:val="false"/>
          <w:i w:val="false"/>
          <w:color w:val="000000"/>
          <w:sz w:val="22"/>
        </w:rPr>
        <w:t xml:space="preserve">. A certified translation of documents submitted in a language other than English shall be provided. The candidate will bear the expense of the curriculum evaluation and translation of application documents. The educational credentials must be equivalent to programs stated in paragraph </w:t>
      </w:r>
      <w:hyperlink r:id="rId44">
        <w:r>
          <w:rPr>
            <w:rStyle w:val="Hyperlink"/>
            <w:rFonts w:ascii="Times New Roman" w:hAnsi="Times New Roman"/>
            <w:b w:val="false"/>
            <w:i w:val="false"/>
            <w:color w:val="000000"/>
            <w:sz w:val="22"/>
          </w:rPr>
          <w:t>880.4(4)</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evidence of meeting all other requirements for licensure stated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880.4(5)</w:t>
      </w:r>
      <w:r>
        <w:rPr>
          <w:rFonts w:ascii="Times New Roman" w:hAnsi="Times New Roman"/>
          <w:b w:val="false"/>
          <w:i w:val="false"/>
          <w:color w:val="000000"/>
          <w:sz w:val="22"/>
        </w:rPr>
        <w:t> </w:t>
      </w:r>
      <w:r>
        <w:rPr>
          <w:rFonts w:ascii="Times New Roman" w:hAnsi="Times New Roman"/>
          <w:b w:val="false"/>
          <w:i/>
          <w:color w:val="000000"/>
          <w:sz w:val="22"/>
        </w:rPr>
        <w:t xml:space="preserve">Social work educational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Bachelor level social worker. An applicant for a license will possess a bachelor’s degree in social work from a college or university accredited by the Council on Social Work Education at the time of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Master and independent level social worker. An applicant for a license will present evidence satisfactory to the board that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Possesses a master’s degree in social work from a college or university accredited by the Council on Social Work Education at the time of graduation;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Possesses a doctoral degree in social work from a college or university approved by the board at the time of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Foreign-trained social workers shall provide an equivalency evaluation of their educational credentials by International Education Research Foundation, Inc., Credentials Evaluation Service, P.O. Box 3665, Culver City, California 90231-3665, telephone 310.258.9451, website </w:t>
      </w:r>
      <w:hyperlink r:id="rId45">
        <w:r>
          <w:rPr>
            <w:rStyle w:val="Hyperlink"/>
            <w:rFonts w:ascii="Times New Roman" w:hAnsi="Times New Roman"/>
            <w:b w:val="false"/>
            <w:i w:val="false"/>
            <w:color w:val="000000"/>
            <w:sz w:val="22"/>
            <w:u w:val="single"/>
          </w:rPr>
          <w:t>www.ierf.org</w:t>
        </w:r>
      </w:hyperlink>
      <w:r>
        <w:rPr>
          <w:rFonts w:ascii="Times New Roman" w:hAnsi="Times New Roman"/>
          <w:b w:val="false"/>
          <w:i w:val="false"/>
          <w:color w:val="000000"/>
          <w:sz w:val="22"/>
        </w:rPr>
        <w:t xml:space="preserve"> or email at </w:t>
      </w:r>
      <w:hyperlink r:id="rId46">
        <w:r>
          <w:rPr>
            <w:rStyle w:val="Hyperlink"/>
            <w:rFonts w:ascii="Times New Roman" w:hAnsi="Times New Roman"/>
            <w:b w:val="false"/>
            <w:i w:val="false"/>
            <w:color w:val="000000"/>
            <w:sz w:val="22"/>
            <w:u w:val="single"/>
          </w:rPr>
          <w:t>info@ierf.org</w:t>
        </w:r>
      </w:hyperlink>
      <w:r>
        <w:rPr>
          <w:rFonts w:ascii="Times New Roman" w:hAnsi="Times New Roman"/>
          <w:b w:val="false"/>
          <w:i w:val="false"/>
          <w:color w:val="000000"/>
          <w:sz w:val="22"/>
        </w:rPr>
        <w:t xml:space="preserve">; or obtain a certificate of equivalency from the Council on Social Work Education, 1701 Duke Street, Suite 200, Alexandria, Virginia 22314-3457, telephone 703.683.8080, website </w:t>
      </w:r>
      <w:hyperlink r:id="rId47">
        <w:r>
          <w:rPr>
            <w:rStyle w:val="Hyperlink"/>
            <w:rFonts w:ascii="Times New Roman" w:hAnsi="Times New Roman"/>
            <w:b w:val="false"/>
            <w:i w:val="false"/>
            <w:color w:val="000000"/>
            <w:sz w:val="22"/>
            <w:u w:val="single"/>
          </w:rPr>
          <w:t>www.cswe.org</w:t>
        </w:r>
      </w:hyperlink>
      <w:r>
        <w:rPr>
          <w:rFonts w:ascii="Times New Roman" w:hAnsi="Times New Roman"/>
          <w:b w:val="false"/>
          <w:i w:val="false"/>
          <w:color w:val="000000"/>
          <w:sz w:val="22"/>
        </w:rPr>
        <w:t>. The professional curriculum must be equivalent to that stated in these rules. The applicant shall bear the expense of the curriculum evaluation.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9401C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481—880.5</w:t>
      </w:r>
      <w:r>
        <w:rPr>
          <w:rFonts w:ascii="Times New Roman" w:hAnsi="Times New Roman"/>
          <w:b/>
          <w:i w:val="false"/>
          <w:color w:val="000000"/>
          <w:sz w:val="22"/>
        </w:rPr>
        <w:t xml:space="preserve">(154D) </w:t>
      </w:r>
      <w:r>
        <w:rPr>
          <w:rFonts w:ascii="Times New Roman" w:hAnsi="Times New Roman"/>
          <w:b/>
          <w:i w:val="false"/>
          <w:color w:val="000000"/>
          <w:sz w:val="22"/>
        </w:rPr>
        <w:t xml:space="preserve">Licensure by endorsement for mental health counselors and marital and family therapists. </w:t>
      </w:r>
      <w:r>
        <w:rPr>
          <w:rFonts w:ascii="Times New Roman" w:hAnsi="Times New Roman"/>
          <w:b w:val="false"/>
          <w:i w:val="false"/>
          <w:color w:val="000000"/>
          <w:sz w:val="22"/>
        </w:rPr>
        <w:t xml:space="preserve">An applicant who has been a licensed marriage and family therapist or mental health counselor under the laws of another jurisdiction may file an application for licensure by endorsement with the board office.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880.5(1)</w:t>
      </w:r>
      <w:r>
        <w:rPr>
          <w:rFonts w:ascii="Times New Roman" w:hAnsi="Times New Roman"/>
          <w:b w:val="false"/>
          <w:i w:val="false"/>
          <w:color w:val="000000"/>
          <w:sz w:val="22"/>
        </w:rPr>
        <w:t> </w:t>
      </w:r>
      <w:r>
        <w:rPr>
          <w:rFonts w:ascii="Times New Roman" w:hAnsi="Times New Roman"/>
          <w:b w:val="false"/>
          <w:i w:val="false"/>
          <w:color w:val="000000"/>
          <w:sz w:val="22"/>
        </w:rPr>
        <w:t>The board may receive by endorsement any applicant from the District of Columbia or another state, territory, province or foreign country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Meets the requirements of paragraph </w:t>
      </w:r>
      <w:hyperlink r:id="rId48">
        <w:r>
          <w:rPr>
            <w:rStyle w:val="Hyperlink"/>
            <w:rFonts w:ascii="Times New Roman" w:hAnsi="Times New Roman"/>
            <w:b w:val="false"/>
            <w:i w:val="false"/>
            <w:color w:val="000000"/>
            <w:sz w:val="22"/>
          </w:rPr>
          <w:t>880.2(1)</w:t>
        </w:r>
        <w:r>
          <w:rPr>
            <w:rFonts w:ascii="Times New Roman" w:hAnsi="Times New Roman"/>
            <w:b w:val="false"/>
            <w:i/>
            <w:color w:val="000000"/>
            <w:sz w:val="22"/>
          </w:rPr>
          <w:t>“a”</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Provides verification of license from the jurisdiction in which the applicant has been most recently licensed, sent directly from the jurisdiction to the board office. The applicant must also disclose any public or pending complaints against the applicant in any other jurisdiction.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880.5(2)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licensed in another jurisdiction but who is unable to satisfy the requirements for licensure by endorsement may apply for licensure by verification, if eligible, in accordance with rule </w:t>
      </w:r>
      <w:hyperlink r:id="rId49">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9401C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481—880.6</w:t>
      </w:r>
      <w:r>
        <w:rPr>
          <w:rFonts w:ascii="Times New Roman" w:hAnsi="Times New Roman"/>
          <w:b/>
          <w:i w:val="false"/>
          <w:color w:val="000000"/>
          <w:sz w:val="22"/>
        </w:rPr>
        <w:t xml:space="preserve">(147) </w:t>
      </w:r>
      <w:r>
        <w:rPr>
          <w:rFonts w:ascii="Times New Roman" w:hAnsi="Times New Roman"/>
          <w:b/>
          <w:i w:val="false"/>
          <w:color w:val="000000"/>
          <w:sz w:val="22"/>
        </w:rPr>
        <w:t xml:space="preserve">Licensure by endorsement for psychologists. </w:t>
      </w:r>
      <w:r>
        <w:rPr>
          <w:rFonts w:ascii="Times New Roman" w:hAnsi="Times New Roman"/>
          <w:b w:val="false"/>
          <w:i w:val="false"/>
          <w:color w:val="000000"/>
          <w:sz w:val="22"/>
        </w:rPr>
        <w:t xml:space="preserve">An applicant who possesses a doctoral degree in psychology and has been a licensed psychologist at the doctoral level under the laws of another jurisdiction may file an application for licensure by endorsement with the board office.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880.6(1)</w:t>
      </w:r>
      <w:r>
        <w:rPr>
          <w:rFonts w:ascii="Times New Roman" w:hAnsi="Times New Roman"/>
          <w:b w:val="false"/>
          <w:i w:val="false"/>
          <w:color w:val="000000"/>
          <w:sz w:val="22"/>
        </w:rPr>
        <w:t> </w:t>
      </w:r>
      <w:r>
        <w:rPr>
          <w:rFonts w:ascii="Times New Roman" w:hAnsi="Times New Roman"/>
          <w:b w:val="false"/>
          <w:i w:val="false"/>
          <w:color w:val="000000"/>
          <w:sz w:val="22"/>
        </w:rPr>
        <w:t>The board may license by endorsement any applicant from the District of Columbia or another state, territory, province, or foreign country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Submits a completed application for licensure and pay the nonrefundable licensure fee specified in rule </w:t>
      </w:r>
      <w:hyperlink r:id="rId50">
        <w:r>
          <w:rPr>
            <w:rStyle w:val="Hyperlink"/>
            <w:rFonts w:ascii="Times New Roman" w:hAnsi="Times New Roman"/>
            <w:b w:val="false"/>
            <w:i w:val="false"/>
            <w:color w:val="000000"/>
            <w:sz w:val="22"/>
          </w:rPr>
          <w:t>481—507.16</w:t>
        </w:r>
      </w:hyperlink>
      <w:r>
        <w:rPr>
          <w:rFonts w:ascii="Times New Roman" w:hAnsi="Times New Roman"/>
          <w:b w:val="false"/>
          <w:i w:val="false"/>
          <w:color w:val="000000"/>
          <w:sz w:val="22"/>
        </w:rPr>
        <w:t>(147,154B).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Provides verification of license from the jurisdiction in which the applicant has most recently been licensed, and additional verifications if necessary to verify at least three years of an independent license as described in paragraph </w:t>
      </w:r>
      <w:hyperlink r:id="rId51">
        <w:r>
          <w:rPr>
            <w:rStyle w:val="Hyperlink"/>
            <w:rFonts w:ascii="Times New Roman" w:hAnsi="Times New Roman"/>
            <w:b w:val="false"/>
            <w:i w:val="false"/>
            <w:color w:val="000000"/>
            <w:sz w:val="22"/>
          </w:rPr>
          <w:t>880.6(1)</w:t>
        </w:r>
      </w:hyperlink>
      <w:r>
        <w:rPr>
          <w:rFonts w:ascii="Times New Roman" w:hAnsi="Times New Roman"/>
          <w:b w:val="false"/>
          <w:i/>
          <w:color w:val="000000"/>
          <w:sz w:val="22"/>
        </w:rPr>
        <w:t>“c”</w:t>
      </w:r>
      <w:r>
        <w:rPr>
          <w:rFonts w:ascii="Times New Roman" w:hAnsi="Times New Roman"/>
          <w:b w:val="false"/>
          <w:i w:val="false"/>
          <w:color w:val="000000"/>
          <w:sz w:val="22"/>
        </w:rPr>
        <w:t xml:space="preserve"> sent directly from the jurisdiction to the board office. The applicant must also disclose any public or pending complaints against the applicant in any other jurisdiction.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Provides verification of a current Certificate of Professional Qualification (CPQ) issued by the ASPPB, or verification of a doctoral degree in psychology and an independent license to practice psychology in another jurisdiction for at least three years with no disciplinary history. Except as stated in paragraph </w:t>
      </w:r>
      <w:hyperlink r:id="rId52">
        <w:r>
          <w:rPr>
            <w:rStyle w:val="Hyperlink"/>
            <w:rFonts w:ascii="Times New Roman" w:hAnsi="Times New Roman"/>
            <w:b w:val="false"/>
            <w:i w:val="false"/>
            <w:color w:val="000000"/>
            <w:sz w:val="22"/>
          </w:rPr>
          <w:t>880.4(4)</w:t>
        </w:r>
      </w:hyperlink>
      <w:r>
        <w:rPr>
          <w:rFonts w:ascii="Times New Roman" w:hAnsi="Times New Roman"/>
          <w:b w:val="false"/>
          <w:i/>
          <w:color w:val="000000"/>
          <w:sz w:val="22"/>
        </w:rPr>
        <w:t>“b,”</w:t>
      </w:r>
      <w:r>
        <w:rPr>
          <w:rFonts w:ascii="Times New Roman" w:hAnsi="Times New Roman"/>
          <w:b w:val="false"/>
          <w:i w:val="false"/>
          <w:color w:val="000000"/>
          <w:sz w:val="22"/>
        </w:rPr>
        <w:t xml:space="preserve"> applicants providing certification or verification are deemed to have met the requirements stated in subparagraphs </w:t>
      </w:r>
      <w:hyperlink r:id="rId53">
        <w:r>
          <w:rPr>
            <w:rStyle w:val="Hyperlink"/>
            <w:rFonts w:ascii="Times New Roman" w:hAnsi="Times New Roman"/>
            <w:b w:val="false"/>
            <w:i w:val="false"/>
            <w:color w:val="000000"/>
            <w:sz w:val="22"/>
          </w:rPr>
          <w:t>880.6(1)</w:t>
        </w:r>
      </w:hyperlink>
      <w:r>
        <w:rPr>
          <w:rFonts w:ascii="Times New Roman" w:hAnsi="Times New Roman"/>
          <w:b w:val="false"/>
          <w:i/>
          <w:color w:val="000000"/>
          <w:sz w:val="22"/>
        </w:rPr>
        <w:t>“c”</w:t>
      </w:r>
      <w:r>
        <w:rPr>
          <w:rFonts w:ascii="Times New Roman" w:hAnsi="Times New Roman"/>
          <w:b w:val="false"/>
          <w:i w:val="false"/>
          <w:color w:val="000000"/>
          <w:sz w:val="22"/>
        </w:rPr>
        <w:t xml:space="preserve">(1) and </w:t>
      </w:r>
      <w:r>
        <w:rPr>
          <w:rFonts w:ascii="Times New Roman" w:hAnsi="Times New Roman"/>
          <w:b w:val="false"/>
          <w:i/>
          <w:color w:val="000000"/>
          <w:sz w:val="22"/>
        </w:rPr>
        <w:t>“c”</w:t>
      </w:r>
      <w:r>
        <w:rPr>
          <w:rFonts w:ascii="Times New Roman" w:hAnsi="Times New Roman"/>
          <w:b w:val="false"/>
          <w:i w:val="false"/>
          <w:color w:val="000000"/>
          <w:sz w:val="22"/>
        </w:rPr>
        <w:t>(2). The board may license by endorsement any other applicant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Provides the official EPPP score sent directly to the board from the ASPPB or verification of the EPPP score sent directly from the state of initial licensure. The recommended passing score established by the ASPPB shall be considered passing.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Shows evidence of licensure requirements that are substantially equivalent to those required in Iowa by one of the following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Official copies of academic transcripts that have been sent directly from the school;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Satisfactory evidence of the applicant’s qualifications in writing on the prescribed forms by the applicant’s supervisors. If verification of professional experience is not available, the board may consider submission of documentation from the jurisdiction in which the applicant is currently licensed or equivalent documentation of supervision;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an official copy of one of the following certifications sent directly to the board from the certifying organization: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Current credentialing at the doctoral level as a health service provider in psychology by the National Register of Health Service Psychologists.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Board certification by the American Board of Professional Psychology that was originally granted on or after January 1, 1983.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880.6(2)</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Licensure by verification. A person who is licensed in another jurisdiction but who is unable to satisfy the requirements for licensure by endorsement may apply for licensure by verification, if eligible, in accordance with rule </w:t>
      </w:r>
      <w:hyperlink r:id="rId54">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9401C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481—880.7</w:t>
      </w:r>
      <w:r>
        <w:rPr>
          <w:rFonts w:ascii="Times New Roman" w:hAnsi="Times New Roman"/>
          <w:b/>
          <w:i w:val="false"/>
          <w:color w:val="000000"/>
          <w:sz w:val="22"/>
        </w:rPr>
        <w:t xml:space="preserve">(154C,154D) </w:t>
      </w:r>
      <w:r>
        <w:rPr>
          <w:rFonts w:ascii="Times New Roman" w:hAnsi="Times New Roman"/>
          <w:b/>
          <w:i w:val="false"/>
          <w:color w:val="000000"/>
          <w:sz w:val="22"/>
        </w:rPr>
        <w:t xml:space="preserve">Supervised clinical experience. </w:t>
      </w:r>
      <w:r>
        <w:rPr>
          <w:rFonts w:ascii="Times New Roman" w:hAnsi="Times New Roman"/>
          <w:b w:val="false"/>
          <w:i w:val="false"/>
          <w:color w:val="000000"/>
          <w:sz w:val="22"/>
        </w:rPr>
        <w:t>An applicant for licensure as a mental health counselor, marital and family therapist, or independent level social worker must complete a supervised clinical experience as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880.7(1)</w:t>
      </w:r>
      <w:r>
        <w:rPr>
          <w:rFonts w:ascii="Times New Roman" w:hAnsi="Times New Roman"/>
          <w:b w:val="false"/>
          <w:i w:val="false"/>
          <w:color w:val="000000"/>
          <w:sz w:val="22"/>
        </w:rPr>
        <w:t> </w:t>
      </w:r>
      <w:r>
        <w:rPr>
          <w:rFonts w:ascii="Times New Roman" w:hAnsi="Times New Roman"/>
          <w:b w:val="false"/>
          <w:i/>
          <w:color w:val="000000"/>
          <w:sz w:val="22"/>
        </w:rPr>
        <w:t xml:space="preserve">Minimum requirements. </w:t>
      </w:r>
      <w:r>
        <w:rPr>
          <w:rFonts w:ascii="Times New Roman" w:hAnsi="Times New Roman"/>
          <w:b w:val="false"/>
          <w:i w:val="false"/>
          <w:color w:val="000000"/>
          <w:sz w:val="22"/>
        </w:rPr>
        <w:t>The supervised clinical experience must satisfy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Timing. </w:t>
      </w:r>
      <w:r>
        <w:rPr>
          <w:rFonts w:ascii="Times New Roman" w:hAnsi="Times New Roman"/>
          <w:b w:val="false"/>
          <w:i w:val="false"/>
          <w:color w:val="000000"/>
          <w:sz w:val="22"/>
        </w:rPr>
        <w:t>The supervised clinical experience cannot begin until after all graduate coursework has been completed with the exception of the thesis.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Duration. </w:t>
      </w:r>
      <w:r>
        <w:rPr>
          <w:rFonts w:ascii="Times New Roman" w:hAnsi="Times New Roman"/>
          <w:b w:val="false"/>
          <w:i w:val="false"/>
          <w:color w:val="000000"/>
          <w:sz w:val="22"/>
        </w:rPr>
        <w:t>The supervised clinical experience must be for a minimum of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Minimum number of hours. </w:t>
      </w:r>
      <w:r>
        <w:rPr>
          <w:rFonts w:ascii="Times New Roman" w:hAnsi="Times New Roman"/>
          <w:b w:val="false"/>
          <w:i w:val="false"/>
          <w:color w:val="000000"/>
          <w:sz w:val="22"/>
        </w:rPr>
        <w:t>The supervised clinical experience must consist of at least 3,000 hours of total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Minimum number of direct client hours. </w:t>
      </w:r>
      <w:r>
        <w:rPr>
          <w:rFonts w:ascii="Times New Roman" w:hAnsi="Times New Roman"/>
          <w:b w:val="false"/>
          <w:i w:val="false"/>
          <w:color w:val="000000"/>
          <w:sz w:val="22"/>
        </w:rPr>
        <w:t>The supervised clinical experience will consist of at least 1,500 hours of direct client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Minimum number of direct supervision hours. </w:t>
      </w:r>
      <w:r>
        <w:rPr>
          <w:rFonts w:ascii="Times New Roman" w:hAnsi="Times New Roman"/>
          <w:b w:val="false"/>
          <w:i w:val="false"/>
          <w:color w:val="000000"/>
          <w:sz w:val="22"/>
        </w:rPr>
        <w:t>The supervised clinical experience will consist of at least 110 hours of direct supervision equitably distributed throughout the supervised clinical experience. A maximum of 50 hours of direct supervision may be obtained through group supervision. Direct supervision can occur in person or by using videoconferencing. After 110 hours of direct supervision are complete, ongoing direct supervision will continue to occur for the remainder of the supervised clinical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Number of supervisors. </w:t>
      </w:r>
      <w:r>
        <w:rPr>
          <w:rFonts w:ascii="Times New Roman" w:hAnsi="Times New Roman"/>
          <w:b w:val="false"/>
          <w:i w:val="false"/>
          <w:color w:val="000000"/>
          <w:sz w:val="22"/>
        </w:rPr>
        <w:t>A supervisee may utilize a maximum of four supervisors at any given time. A supervisee is responsible for notifying each supervisor if another supervisor is also being utilized to allow for coordination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Number of supervisees. </w:t>
      </w:r>
      <w:r>
        <w:rPr>
          <w:rFonts w:ascii="Times New Roman" w:hAnsi="Times New Roman"/>
          <w:b w:val="false"/>
          <w:i w:val="false"/>
          <w:color w:val="000000"/>
          <w:sz w:val="22"/>
        </w:rPr>
        <w:t>A supervisor will determine the number of supervisees who can be supervised safely and competently and will not exceed that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The supervised clinical experience must involve performing psychosocial assessments, diagnostic practice using the current edition of the Diagnostic and Statistical Manual of Mental Disorders (DSM-5-TR) published March 2022, and providing treatment, including the establishment of treatment goals, psychosocial therapy using evidence-based therapeutic modalities, and differential treatment planning. The supervised clinical experience will prepare the supervisee for independent practice and must include training on practice management, ethical standards, legal and regulatory requirements, documentation, coordination of care, and self-care.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880.7(2)</w:t>
      </w:r>
      <w:r>
        <w:rPr>
          <w:rFonts w:ascii="Times New Roman" w:hAnsi="Times New Roman"/>
          <w:b w:val="false"/>
          <w:i w:val="false"/>
          <w:color w:val="000000"/>
          <w:sz w:val="22"/>
        </w:rPr>
        <w:t> </w:t>
      </w:r>
      <w:r>
        <w:rPr>
          <w:rFonts w:ascii="Times New Roman" w:hAnsi="Times New Roman"/>
          <w:b w:val="false"/>
          <w:i/>
          <w:color w:val="000000"/>
          <w:sz w:val="22"/>
        </w:rPr>
        <w:t xml:space="preserve">Eligible supervisors. </w:t>
      </w:r>
      <w:r>
        <w:rPr>
          <w:rFonts w:ascii="Times New Roman" w:hAnsi="Times New Roman"/>
          <w:b w:val="false"/>
          <w:i w:val="false"/>
          <w:color w:val="000000"/>
          <w:sz w:val="22"/>
        </w:rPr>
        <w:t xml:space="preserve">A supervisor must satisfy all of the following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 an active license as an independent level social worker, mental health counselor, or marital and family therapist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 minimum of three years of independent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completed at least a six-hour continuing education course in supervision or one graduate-level course in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knowledgeable of the applicable ethical code and licensing rules governing the supervisee. Any request for a supervisor who does not meet these requirements must be approved by the board before supervision begins.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880.7(3)</w:t>
      </w:r>
      <w:r>
        <w:rPr>
          <w:rFonts w:ascii="Times New Roman" w:hAnsi="Times New Roman"/>
          <w:b w:val="false"/>
          <w:i w:val="false"/>
          <w:color w:val="000000"/>
          <w:sz w:val="22"/>
        </w:rPr>
        <w:t> </w:t>
      </w:r>
      <w:r>
        <w:rPr>
          <w:rFonts w:ascii="Times New Roman" w:hAnsi="Times New Roman"/>
          <w:b w:val="false"/>
          <w:i/>
          <w:color w:val="000000"/>
          <w:sz w:val="22"/>
        </w:rPr>
        <w:t xml:space="preserve">Supervision plan. </w:t>
      </w:r>
      <w:r>
        <w:rPr>
          <w:rFonts w:ascii="Times New Roman" w:hAnsi="Times New Roman"/>
          <w:b w:val="false"/>
          <w:i w:val="false"/>
          <w:color w:val="000000"/>
          <w:sz w:val="22"/>
        </w:rPr>
        <w:t>Prior to beginning supervision, the supervisee will submit a written supervision plan to the board using the current form published by the board. The supervisee will also submit a written supervision plan to the board prior to beginning supervision with a new supervisor.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880.7(4)</w:t>
      </w:r>
      <w:r>
        <w:rPr>
          <w:rFonts w:ascii="Times New Roman" w:hAnsi="Times New Roman"/>
          <w:b w:val="false"/>
          <w:i w:val="false"/>
          <w:color w:val="000000"/>
          <w:sz w:val="22"/>
        </w:rPr>
        <w:t> </w:t>
      </w:r>
      <w:r>
        <w:rPr>
          <w:rFonts w:ascii="Times New Roman" w:hAnsi="Times New Roman"/>
          <w:b w:val="false"/>
          <w:i/>
          <w:color w:val="000000"/>
          <w:sz w:val="22"/>
        </w:rPr>
        <w:t xml:space="preserve">Supervision report. </w:t>
      </w:r>
      <w:r>
        <w:rPr>
          <w:rFonts w:ascii="Times New Roman" w:hAnsi="Times New Roman"/>
          <w:b w:val="false"/>
          <w:i w:val="false"/>
          <w:color w:val="000000"/>
          <w:sz w:val="22"/>
        </w:rPr>
        <w:t>When supervision is complete, or when a supervisor ceases providing supervision to the supervisee, the supervisee will ensure a completed supervision report using the current form published by the board is submitted to the board. If the supervisor reports that the supervisee is not adequately prepared for independent licensure, or reports violations of the board’s rules or applicable ethical code, the board may require the supervisee to complete additional supervision or training as deemed appropriate prior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880.7(5)</w:t>
      </w:r>
      <w:r>
        <w:rPr>
          <w:rFonts w:ascii="Times New Roman" w:hAnsi="Times New Roman"/>
          <w:b w:val="false"/>
          <w:i w:val="false"/>
          <w:color w:val="000000"/>
          <w:sz w:val="22"/>
        </w:rPr>
        <w:t> </w:t>
      </w:r>
      <w:r>
        <w:rPr>
          <w:rFonts w:ascii="Times New Roman" w:hAnsi="Times New Roman"/>
          <w:b w:val="false"/>
          <w:i/>
          <w:color w:val="000000"/>
          <w:sz w:val="22"/>
        </w:rPr>
        <w:t xml:space="preserve">Supervised clinical experience in other states. </w:t>
      </w:r>
      <w:r>
        <w:rPr>
          <w:rFonts w:ascii="Times New Roman" w:hAnsi="Times New Roman"/>
          <w:b w:val="false"/>
          <w:i w:val="false"/>
          <w:color w:val="000000"/>
          <w:sz w:val="22"/>
        </w:rPr>
        <w:t>An applicant who completed some or all of the supervised clinical experience in another state without obtaining licensure in that state should contact the board to determine whether some or all of the supervised clinical experience that has been completed can be used to qualify for licensure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880.7(6)</w:t>
      </w:r>
      <w:r>
        <w:rPr>
          <w:rFonts w:ascii="Times New Roman" w:hAnsi="Times New Roman"/>
          <w:b w:val="false"/>
          <w:i w:val="false"/>
          <w:color w:val="000000"/>
          <w:sz w:val="22"/>
        </w:rPr>
        <w:t> </w:t>
      </w:r>
      <w:r>
        <w:rPr>
          <w:rFonts w:ascii="Times New Roman" w:hAnsi="Times New Roman"/>
          <w:b w:val="false"/>
          <w:i/>
          <w:color w:val="000000"/>
          <w:sz w:val="22"/>
        </w:rPr>
        <w:t xml:space="preserve">Grandfather clause. </w:t>
      </w:r>
      <w:r>
        <w:rPr>
          <w:rFonts w:ascii="Times New Roman" w:hAnsi="Times New Roman"/>
          <w:b w:val="false"/>
          <w:i w:val="false"/>
          <w:color w:val="000000"/>
          <w:sz w:val="22"/>
        </w:rPr>
        <w:t>Any new or additional requirements imposed by this rule do not apply to supervision that started prior to July 20, 2022.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9401C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481—880.8</w:t>
      </w:r>
      <w:r>
        <w:rPr>
          <w:rFonts w:ascii="Times New Roman" w:hAnsi="Times New Roman"/>
          <w:b/>
          <w:i w:val="false"/>
          <w:color w:val="000000"/>
          <w:sz w:val="22"/>
        </w:rPr>
        <w:t xml:space="preserve">(154B) </w:t>
      </w:r>
      <w:r>
        <w:rPr>
          <w:rFonts w:ascii="Times New Roman" w:hAnsi="Times New Roman"/>
          <w:b/>
          <w:i w:val="false"/>
          <w:color w:val="000000"/>
          <w:sz w:val="22"/>
        </w:rPr>
        <w:t xml:space="preserve">Psychology postdoctoral residency.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880.8(1)</w:t>
      </w:r>
      <w:r>
        <w:rPr>
          <w:rFonts w:ascii="Times New Roman" w:hAnsi="Times New Roman"/>
          <w:b w:val="false"/>
          <w:i w:val="false"/>
          <w:color w:val="000000"/>
          <w:sz w:val="22"/>
        </w:rPr>
        <w:t> </w:t>
      </w:r>
      <w:r>
        <w:rPr>
          <w:rFonts w:ascii="Times New Roman" w:hAnsi="Times New Roman"/>
          <w:b w:val="false"/>
          <w:i w:val="false"/>
          <w:color w:val="000000"/>
          <w:sz w:val="22"/>
        </w:rPr>
        <w:t>The postdoctoral residency may begin after all academic requirements for the doctoral degree, including completion of the predoctoral internship, have been completed. The postdoctoral residency shall consist of a minimum of 1,500 hours that are completed in no less than ten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880.8(2)</w:t>
      </w:r>
      <w:r>
        <w:rPr>
          <w:rFonts w:ascii="Times New Roman" w:hAnsi="Times New Roman"/>
          <w:b w:val="false"/>
          <w:i w:val="false"/>
          <w:color w:val="000000"/>
          <w:sz w:val="22"/>
        </w:rPr>
        <w:t> </w:t>
      </w:r>
      <w:r>
        <w:rPr>
          <w:rFonts w:ascii="Times New Roman" w:hAnsi="Times New Roman"/>
          <w:b w:val="false"/>
          <w:i w:val="false"/>
          <w:color w:val="000000"/>
          <w:sz w:val="22"/>
        </w:rPr>
        <w:t>During the postdoctoral residency, the supervisee will competently apply the principles of psychology under the supervision of a licensed psychologist who is actively licensed in the jurisdiction where the supervision occurs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supervisee and supervisor will complete a supervision plan using the form provided by the board. The supervision plan must be submitted to the board if the supervisee is applying for or utilizing a provisional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supervisor will not have more than three concurrent full-time supervisees or the equivalent in part-time supervisees. Full-time is defined as 40 hours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supervisee and supervisor will meet individually in person or via videoconferencing during each week in which postdoctoral residency hours are accrued, for no less than a total of 45 hours during the postdoctoral residency. Group supervision hours cannot count toward the 45 hours of individual supervision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supervisor will provide supervision at all times, which means the supervisor will be readily available on site, or via electronic or telephonic means, at all times when the supervisee is providing services so that the supervisee may contact the supervisor for advice, assistance, or instruction. A supervisor will identify one or more licensed mental health providers who can be contacted for advice, assistance, or instruction during times in which the supervisor will not be readily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supervisee and supervisor will have a crisis plan in place any time the supervisee is providing services and the supervisor is not on site in the same physical setting as the supervisee.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supervisor will establish and maintain a level of supervisory contact consistent with established professional standards and be fully accountable in the event that professional, ethical or legal issues are raised.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supervisor will provide training that is appropriate to the functions to be performed. The supervisee shall have the background, training, and experience that is appropriate to the functions performed. The supervisor shall not permit the supervisee to engage in any psychological practice that the supervisor cannot perform competently.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supervisor and supervisee will ensure clients are informed regarding the supervisee’s status and the sharing of information between the supervisee and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supervisor will have reasonable access to the clinical records corresponding to the work being supervised. The supervisor will countersign all written reports, clinical records and clinical communications as “Reviewed and Approved” by the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All services will be offered in the name of the supervisor. The supervisee and supervisor will ensure that the supervisee uses a title in accordance with rule </w:t>
      </w:r>
      <w:hyperlink r:id="rId55">
        <w:r>
          <w:rPr>
            <w:rStyle w:val="Hyperlink"/>
            <w:rFonts w:ascii="Times New Roman" w:hAnsi="Times New Roman"/>
            <w:b w:val="false"/>
            <w:i w:val="false"/>
            <w:color w:val="000000"/>
            <w:sz w:val="22"/>
          </w:rPr>
          <w:t>481—880.17</w:t>
        </w:r>
      </w:hyperlink>
      <w:r>
        <w:rPr>
          <w:rFonts w:ascii="Times New Roman" w:hAnsi="Times New Roman"/>
          <w:b w:val="false"/>
          <w:i w:val="false"/>
          <w:color w:val="000000"/>
          <w:sz w:val="22"/>
        </w:rPr>
        <w:t>(147,154B).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fee schedule and receipt of payment will remain the sole domain of the supervisor or employing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supervisor will maintain an ongoing record of supervision that details the types of activities in which the supervisee is engaged, the level of the supervisee’s competence in each, and the type and outcome of all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supervisor is responsible for determining the competency of the work performed by the supervisee and must honestly and accurately complete the supervision report at the conclusion of providing supervision.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9401C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481—880.9</w:t>
      </w:r>
      <w:r>
        <w:rPr>
          <w:rFonts w:ascii="Times New Roman" w:hAnsi="Times New Roman"/>
          <w:b/>
          <w:i w:val="false"/>
          <w:color w:val="000000"/>
          <w:sz w:val="22"/>
        </w:rPr>
        <w:t xml:space="preserve">(154B) </w:t>
      </w:r>
      <w:r>
        <w:rPr>
          <w:rFonts w:ascii="Times New Roman" w:hAnsi="Times New Roman"/>
          <w:b/>
          <w:i w:val="false"/>
          <w:color w:val="000000"/>
          <w:sz w:val="22"/>
        </w:rPr>
        <w:t xml:space="preserve">Psychologists’ supervision of persons other than postdoctoral residents in a practice setting.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880.9(1)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applies when a psychologist is supervising individuals who are not licensed or who are provisionally licensed and completing the predoctoral internship. This rule does not apply to supervision of an individual completing a postdoctoral residency in accordance with rule </w:t>
      </w:r>
      <w:hyperlink r:id="rId56">
        <w:r>
          <w:rPr>
            <w:rStyle w:val="Hyperlink"/>
            <w:rFonts w:ascii="Times New Roman" w:hAnsi="Times New Roman"/>
            <w:b w:val="false"/>
            <w:i w:val="false"/>
            <w:color w:val="000000"/>
            <w:sz w:val="22"/>
          </w:rPr>
          <w:t>481—880.17</w:t>
        </w:r>
      </w:hyperlink>
      <w:r>
        <w:rPr>
          <w:rFonts w:ascii="Times New Roman" w:hAnsi="Times New Roman"/>
          <w:b w:val="false"/>
          <w:i w:val="false"/>
          <w:color w:val="000000"/>
          <w:sz w:val="22"/>
        </w:rPr>
        <w:t>(147,154B), regardless of whether the individual is provisionally licensed or not.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880.9(2)</w:t>
      </w:r>
      <w:r>
        <w:rPr>
          <w:rFonts w:ascii="Times New Roman" w:hAnsi="Times New Roman"/>
          <w:b w:val="false"/>
          <w:i w:val="false"/>
          <w:color w:val="000000"/>
          <w:sz w:val="22"/>
        </w:rPr>
        <w:t> </w:t>
      </w:r>
      <w:r>
        <w:rPr>
          <w:rFonts w:ascii="Times New Roman" w:hAnsi="Times New Roman"/>
          <w:b w:val="false"/>
          <w:i w:val="false"/>
          <w:color w:val="000000"/>
          <w:sz w:val="22"/>
        </w:rPr>
        <w:t>The supervising psychologist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vested with administrative control over the functioning of assistants in order to maintain ultimate responsibility for the welfare of every client. When the employer is a person other than the supervising psychologist, the supervising psychologist must have direct input into administrative matters.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sufficient knowledge of all clients, including face-to-face contact when necessary, in order to plan effective service delivery procedures. The progress of the work will be monitored through such means as will ensure that full legal and professional responsibility can be accepted by the supervisor for all services rendered. Supervisors will also be available for emergency consultation and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work assignments that are commensurate with the skills of the supervisee. All procedures will be planned in consultation with the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Work in the same physical setting as the supervisee unless the supervisee is receiving formal training pursuant to the requirements for licensure as a psychologist. For supervisees working off site while receiving formal licensure training, ensure the off-site location has a licensed mental health provider or primary care provider on site whenever the supervisee is working for purposes of providing emergency consultation.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Make public announcement of services and fees; contact with laypersons or the professional community will be offered only by or in the name of the supervising psychologist. Titles of unlicensed persons must clearly indicate their supervised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 specific information to clients when an unlicensed person delivers services to those clients, including disclosure of the unlicensed person’s status and information regarding the person’s qualifications and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Inform clients of the possibility of periodic meetings with the supervising psychologist at the client’s, the supervisee’s or the supervisor’s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Provide for setting and receipt of payment that will remain the sole domain of the employing agency or supervising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Establish and maintain a level of supervisory contact consistent with established professional standards and be fully accountable in the event that professional, ethical or legal issues are raised.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Provide a detailed job description in which functions are designated at varying levels of difficulty, requiring increasing levels of training, skill and experience. This job description will be made available to representatives of the board and service recipients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Be responsible for the planning, course, and outcome of the work. The conduct of supervision shall ensure the professional, ethical, and legal protection of the client and of the unlicensed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Countersign all written reports, clinical records and clinical communications as “Reviewed and Approved” by the supervising psychologist.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9401C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481—880.10</w:t>
      </w:r>
      <w:r>
        <w:rPr>
          <w:rFonts w:ascii="Times New Roman" w:hAnsi="Times New Roman"/>
          <w:b/>
          <w:i w:val="false"/>
          <w:color w:val="000000"/>
          <w:sz w:val="22"/>
        </w:rPr>
        <w:t xml:space="preserve">(147) </w:t>
      </w:r>
      <w:r>
        <w:rPr>
          <w:rFonts w:ascii="Times New Roman" w:hAnsi="Times New Roman"/>
          <w:b/>
          <w:i w:val="false"/>
          <w:color w:val="000000"/>
          <w:sz w:val="22"/>
        </w:rPr>
        <w:t xml:space="preserve">License renewal for mental health counselors and marriage and family therapists.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880.10(1)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marital and family therapy or mental health counseling shall begin on October 1 of an even-numbered year and end on September 30 of the next even-numbered year. The licensee is responsible for renewing the license prior to its expiration. Failure of the licensee to receive notice from the board does not relieve the licensee of the responsibility for renewing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880.10(2)</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57">
        <w:r>
          <w:rPr>
            <w:rStyle w:val="Hyperlink"/>
            <w:rFonts w:ascii="Times New Roman" w:hAnsi="Times New Roman"/>
            <w:b w:val="false"/>
            <w:i w:val="false"/>
            <w:color w:val="000000"/>
            <w:sz w:val="22"/>
          </w:rPr>
          <w:t>481—881.2</w:t>
        </w:r>
      </w:hyperlink>
      <w:r>
        <w:rPr>
          <w:rFonts w:ascii="Times New Roman" w:hAnsi="Times New Roman"/>
          <w:b w:val="false"/>
          <w:i w:val="false"/>
          <w:color w:val="000000"/>
          <w:sz w:val="22"/>
        </w:rPr>
        <w:t>(272C).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 An individual who was issued a license within six months of the license renewal date will not be required to renew the license until the next renewal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880.10(3)</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scope of professional practice or in the licensee’s employment responsibilities, examines, attends, counsels or treats children in Iowa shall indicate on the renewal application completion of two hours of training in child abuse identification and reporting as required by Iowa Code section </w:t>
      </w:r>
      <w:hyperlink r:id="rId58">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hyperlink r:id="rId59">
        <w:r>
          <w:rPr>
            <w:rStyle w:val="Hyperlink"/>
            <w:rFonts w:ascii="Times New Roman" w:hAnsi="Times New Roman"/>
            <w:b w:val="false"/>
            <w:i w:val="false"/>
            <w:color w:val="000000"/>
            <w:sz w:val="22"/>
          </w:rPr>
          <w:t>880.10(3)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course of employment, examines, attends, counsels or treats adults in Iowa shall indicate on the renewal application completion of two hours of training in dependent adult abuse identification and reporting as required by Iowa Code section </w:t>
      </w:r>
      <w:hyperlink r:id="rId60">
        <w:r>
          <w:rPr>
            <w:rStyle w:val="Hyperlink"/>
            <w:rFonts w:ascii="Times New Roman" w:hAnsi="Times New Roman"/>
            <w:b w:val="false"/>
            <w:i w:val="false"/>
            <w:color w:val="000000"/>
            <w:sz w:val="22"/>
          </w:rPr>
          <w:t>235B.16(5)</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hyperlink r:id="rId61">
        <w:r>
          <w:rPr>
            <w:rStyle w:val="Hyperlink"/>
            <w:rFonts w:ascii="Times New Roman" w:hAnsi="Times New Roman"/>
            <w:b w:val="false"/>
            <w:i w:val="false"/>
            <w:color w:val="000000"/>
            <w:sz w:val="22"/>
          </w:rPr>
          <w:t>880.10(3)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maintain written documentation for five years after mandatory training as identified in paragraphs </w:t>
      </w:r>
      <w:hyperlink r:id="rId62">
        <w:r>
          <w:rPr>
            <w:rStyle w:val="Hyperlink"/>
            <w:rFonts w:ascii="Times New Roman" w:hAnsi="Times New Roman"/>
            <w:b w:val="false"/>
            <w:i w:val="false"/>
            <w:color w:val="000000"/>
            <w:sz w:val="22"/>
          </w:rPr>
          <w:t>880.10(3)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including program date(s), content, duration, and proof of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requirement for mandatory training for identifying and reporting child and dependent adult abuse shall be suspended if the board determines that suspension is in the public interest or that a person at the time of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engaged in active duty in the military service of this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Holds a current waiver by the board based on evidence of significant hardship in complying with training requirements, including an exemption of continuing education requirements or extension of time in which to fulfill requirements due to a physical or mental disability or illness as identified in </w:t>
      </w:r>
      <w:hyperlink r:id="rId63">
        <w:r>
          <w:rPr>
            <w:rStyle w:val="Hyperlink"/>
            <w:rFonts w:ascii="Times New Roman" w:hAnsi="Times New Roman"/>
            <w:b w:val="false"/>
            <w:i w:val="false"/>
            <w:color w:val="000000"/>
            <w:sz w:val="22"/>
          </w:rPr>
          <w:t>481—Chapter 500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paragraphs </w:t>
      </w:r>
      <w:hyperlink r:id="rId64">
        <w:r>
          <w:rPr>
            <w:rStyle w:val="Hyperlink"/>
            <w:rFonts w:ascii="Times New Roman" w:hAnsi="Times New Roman"/>
            <w:b w:val="false"/>
            <w:i w:val="false"/>
            <w:color w:val="000000"/>
            <w:sz w:val="22"/>
          </w:rPr>
          <w:t>880.10(3)</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880.10(4)</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shall administratively issue a two-year license. In the event the board receives adverse information on the renewal application, the board shall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880.10(5)</w:t>
      </w:r>
      <w:r>
        <w:rPr>
          <w:rFonts w:ascii="Times New Roman" w:hAnsi="Times New Roman"/>
          <w:b w:val="false"/>
          <w:i w:val="false"/>
          <w:color w:val="000000"/>
          <w:sz w:val="22"/>
        </w:rPr>
        <w:t> </w:t>
      </w:r>
      <w:r>
        <w:rPr>
          <w:rFonts w:ascii="Times New Roman" w:hAnsi="Times New Roman"/>
          <w:b w:val="false"/>
          <w:i w:val="false"/>
          <w:color w:val="000000"/>
          <w:sz w:val="22"/>
        </w:rPr>
        <w:t>A person licensed to practice as a marital and family therapist or mental health counselor shall keep the person’s license certificate and wallet card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880.10(6)</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shall become late when the license has not been renewed by the expiration date on the wallet card. The licensee shall be assessed a late fee as specified in </w:t>
      </w:r>
      <w:hyperlink r:id="rId65">
        <w:r>
          <w:rPr>
            <w:rStyle w:val="Hyperlink"/>
            <w:rFonts w:ascii="Times New Roman" w:hAnsi="Times New Roman"/>
            <w:b w:val="false"/>
            <w:i w:val="false"/>
            <w:color w:val="000000"/>
            <w:sz w:val="22"/>
          </w:rPr>
          <w:t>481—subrule 507.3(3)</w:t>
        </w:r>
      </w:hyperlink>
      <w:r>
        <w:rPr>
          <w:rFonts w:ascii="Times New Roman" w:hAnsi="Times New Roman"/>
          <w:b w:val="false"/>
          <w:i w:val="false"/>
          <w:color w:val="000000"/>
          <w:sz w:val="22"/>
        </w:rPr>
        <w:t>. To renew a late license, the licensee shall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880.10(7)</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shall not practice mental health counseling or marital and family therapy in Iowa until the license is reactivated. A licensee who practices mental health counseling or marital and family therapy in the state of Iowa with an inactive license may be subject to disciplinary action by the board, injunctive action pursuant to Iowa Code section </w:t>
      </w:r>
      <w:hyperlink r:id="rId66">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67">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9401C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481—880.11</w:t>
      </w:r>
      <w:r>
        <w:rPr>
          <w:rFonts w:ascii="Times New Roman" w:hAnsi="Times New Roman"/>
          <w:b/>
          <w:i w:val="false"/>
          <w:color w:val="000000"/>
          <w:sz w:val="22"/>
        </w:rPr>
        <w:t xml:space="preserve">(272C) </w:t>
      </w:r>
      <w:r>
        <w:rPr>
          <w:rFonts w:ascii="Times New Roman" w:hAnsi="Times New Roman"/>
          <w:b/>
          <w:i w:val="false"/>
          <w:color w:val="000000"/>
          <w:sz w:val="22"/>
        </w:rPr>
        <w:t xml:space="preserve">Initial licensing, reactivation, and license renewal for behavior analysts and assistant behavior analysts.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880.11(1)</w:t>
      </w:r>
      <w:r>
        <w:rPr>
          <w:rFonts w:ascii="Times New Roman" w:hAnsi="Times New Roman"/>
          <w:b w:val="false"/>
          <w:i w:val="false"/>
          <w:color w:val="000000"/>
          <w:sz w:val="22"/>
        </w:rPr>
        <w:t> </w:t>
      </w:r>
      <w:r>
        <w:rPr>
          <w:rFonts w:ascii="Times New Roman" w:hAnsi="Times New Roman"/>
          <w:b w:val="false"/>
          <w:i w:val="false"/>
          <w:color w:val="000000"/>
          <w:sz w:val="22"/>
        </w:rPr>
        <w:t>An initial license for a behavior analyst or assistant behavior analyst shall be issued with the same expiration date as the applicant’s current certification issued by BACB.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880.11(2)</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behavior analyst or assistant behavior analyst shall run concurrent with the licensee’s BACB certification. Each license renewed shall be given the expiration date that is on the licensee’s current BACB certification. The licensee is responsible for renewing the license prior to its expiration. Failure of the licensee to receive notice from the board does not relieve the licensee of the responsibility for renewing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880.11(3)</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Meet the continuing education requirements required by BACB to renew a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 current certification as a board-certified behavior analyst, board-certified behavior analyst-doctoral, or board-certified assistant behavior analyst issued by BACB.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880.11(4)</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shall administratively issue a license. In the event the board receives adverse information on the renewal application, the board shall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880.11(5)</w:t>
      </w:r>
      <w:r>
        <w:rPr>
          <w:rFonts w:ascii="Times New Roman" w:hAnsi="Times New Roman"/>
          <w:b w:val="false"/>
          <w:i w:val="false"/>
          <w:color w:val="000000"/>
          <w:sz w:val="22"/>
        </w:rPr>
        <w:t> </w:t>
      </w:r>
      <w:r>
        <w:rPr>
          <w:rFonts w:ascii="Times New Roman" w:hAnsi="Times New Roman"/>
          <w:b w:val="false"/>
          <w:i w:val="false"/>
          <w:color w:val="000000"/>
          <w:sz w:val="22"/>
        </w:rPr>
        <w:t>A person licensed as a behavior analyst or assistant behavior analyst shall keep the person’s license certificate and renewal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880.11(6)</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shall become late when the license has not been renewed by the expiration date on the renewal. The licensee shall be assessed a late fee as specified in </w:t>
      </w:r>
      <w:hyperlink r:id="rId68">
        <w:r>
          <w:rPr>
            <w:rStyle w:val="Hyperlink"/>
            <w:rFonts w:ascii="Times New Roman" w:hAnsi="Times New Roman"/>
            <w:b w:val="false"/>
            <w:i w:val="false"/>
            <w:color w:val="000000"/>
            <w:sz w:val="22"/>
          </w:rPr>
          <w:t>481—subrule 507.3(5)</w:t>
        </w:r>
      </w:hyperlink>
      <w:r>
        <w:rPr>
          <w:rFonts w:ascii="Times New Roman" w:hAnsi="Times New Roman"/>
          <w:b w:val="false"/>
          <w:i w:val="false"/>
          <w:color w:val="000000"/>
          <w:sz w:val="22"/>
        </w:rPr>
        <w:t>. To renew a late license, the licensee shall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880.11(7)</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shall not engage in the practice of applied behavior analysis for which a license is required in Iowa until the license is reactivated. A licensee who practices applied behavior analysis in a capacity that requires licensure in the state of Iowa with an inactive license may be subject to disciplinary action by the board, injunctive action pursuant to Iowa Code section </w:t>
      </w:r>
      <w:hyperlink r:id="rId69">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70">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880.11(8)</w:t>
      </w:r>
      <w:r>
        <w:rPr>
          <w:rFonts w:ascii="Times New Roman" w:hAnsi="Times New Roman"/>
          <w:b w:val="false"/>
          <w:i w:val="false"/>
          <w:color w:val="000000"/>
          <w:sz w:val="22"/>
        </w:rPr>
        <w:t> </w:t>
      </w:r>
      <w:r>
        <w:rPr>
          <w:rFonts w:ascii="Times New Roman" w:hAnsi="Times New Roman"/>
          <w:b w:val="false"/>
          <w:i w:val="false"/>
          <w:color w:val="000000"/>
          <w:sz w:val="22"/>
        </w:rPr>
        <w:t xml:space="preserve">Reactivation. To apply for reactivation of an inactive license, a licensee shall submit a completed renewal application and proof of current certification and shall be assessed a reactivation fee as specified in </w:t>
      </w:r>
      <w:hyperlink r:id="rId71">
        <w:r>
          <w:rPr>
            <w:rStyle w:val="Hyperlink"/>
            <w:rFonts w:ascii="Times New Roman" w:hAnsi="Times New Roman"/>
            <w:b w:val="false"/>
            <w:i w:val="false"/>
            <w:color w:val="000000"/>
            <w:sz w:val="22"/>
          </w:rPr>
          <w:t>481—subrule 507.3(6)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9401C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481—880.12</w:t>
      </w:r>
      <w:r>
        <w:rPr>
          <w:rFonts w:ascii="Times New Roman" w:hAnsi="Times New Roman"/>
          <w:b/>
          <w:i w:val="false"/>
          <w:color w:val="000000"/>
          <w:sz w:val="22"/>
        </w:rPr>
        <w:t xml:space="preserve">(147) </w:t>
      </w:r>
      <w:r>
        <w:rPr>
          <w:rFonts w:ascii="Times New Roman" w:hAnsi="Times New Roman"/>
          <w:b/>
          <w:i w:val="false"/>
          <w:color w:val="000000"/>
          <w:sz w:val="22"/>
        </w:rPr>
        <w:t xml:space="preserve">Psychology 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880.12(1)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psychology shall begin on July 1 of even-numbered years and end on June 30 of the next even-numbered year. The licensee is responsible for renewing the license prior to its expiration. Failure of the licensee to receive notice from the board does not relieve the licensee of the responsibility for renewing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880.12(2)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will not be required to renew the license until the subsequent renewal date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880.12(3)</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72">
        <w:r>
          <w:rPr>
            <w:rStyle w:val="Hyperlink"/>
            <w:rFonts w:ascii="Times New Roman" w:hAnsi="Times New Roman"/>
            <w:b w:val="false"/>
            <w:i w:val="false"/>
            <w:color w:val="000000"/>
            <w:sz w:val="22"/>
          </w:rPr>
          <w:t>481—881.2</w:t>
        </w:r>
      </w:hyperlink>
      <w:r>
        <w:rPr>
          <w:rFonts w:ascii="Times New Roman" w:hAnsi="Times New Roman"/>
          <w:b w:val="false"/>
          <w:i w:val="false"/>
          <w:color w:val="000000"/>
          <w:sz w:val="22"/>
        </w:rPr>
        <w:t xml:space="preserve">(272C) and the mandatory reporting requirements of subrule </w:t>
      </w:r>
      <w:hyperlink r:id="rId73">
        <w:r>
          <w:rPr>
            <w:rStyle w:val="Hyperlink"/>
            <w:rFonts w:ascii="Times New Roman" w:hAnsi="Times New Roman"/>
            <w:b w:val="false"/>
            <w:i w:val="false"/>
            <w:color w:val="000000"/>
            <w:sz w:val="22"/>
          </w:rPr>
          <w:t>880.12(4)</w:t>
        </w:r>
      </w:hyperlink>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880.12(4)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scope of professional practice or in the licensee’s employment responsibilities, examines, attends, counsels or treats children in Iowa shall indicate on the renewal application completion of two hours of training in child abuse identification and reporting as required by Iowa Code section </w:t>
      </w:r>
      <w:hyperlink r:id="rId74">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hyperlink r:id="rId75">
        <w:r>
          <w:rPr>
            <w:rStyle w:val="Hyperlink"/>
            <w:rFonts w:ascii="Times New Roman" w:hAnsi="Times New Roman"/>
            <w:b w:val="false"/>
            <w:i w:val="false"/>
            <w:color w:val="000000"/>
            <w:sz w:val="22"/>
          </w:rPr>
          <w:t>880.12(4)</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course of employment, examines, attends, counsels or treats adults in Iowa shall indicate on the renewal application completion of training in dependent adult abuse identification and reporting as required by Iowa Code section </w:t>
      </w:r>
      <w:hyperlink r:id="rId76">
        <w:r>
          <w:rPr>
            <w:rStyle w:val="Hyperlink"/>
            <w:rFonts w:ascii="Times New Roman" w:hAnsi="Times New Roman"/>
            <w:b w:val="false"/>
            <w:i w:val="false"/>
            <w:color w:val="000000"/>
            <w:sz w:val="22"/>
          </w:rPr>
          <w:t>235B.16(5)</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hyperlink r:id="rId77">
        <w:r>
          <w:rPr>
            <w:rStyle w:val="Hyperlink"/>
            <w:rFonts w:ascii="Times New Roman" w:hAnsi="Times New Roman"/>
            <w:b w:val="false"/>
            <w:i w:val="false"/>
            <w:color w:val="000000"/>
            <w:sz w:val="22"/>
          </w:rPr>
          <w:t>880.12(4)</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course(s) shall be the curriculum provided by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maintain written documentation for three years after mandatory training as identified in paragraphs </w:t>
      </w:r>
      <w:hyperlink r:id="rId78">
        <w:r>
          <w:rPr>
            <w:rStyle w:val="Hyperlink"/>
            <w:rFonts w:ascii="Times New Roman" w:hAnsi="Times New Roman"/>
            <w:b w:val="false"/>
            <w:i w:val="false"/>
            <w:color w:val="000000"/>
            <w:sz w:val="22"/>
          </w:rPr>
          <w:t>880.12(4)</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including program date(s), content, duration, and proof of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requirement for mandatory training for identifying and reporting child and dependent adult abuse shall be suspended if the board determines that suspension is in the public interest or that a person at the time of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engaged in active duty in the military service of this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Holds a current waiver by the board based on evidence of significant hardship in complying with training requirements, including an exemption of continuing education requirements or extension of time in which to fulfill requirements due to a physical or mental disability or illness as identified in rule </w:t>
      </w:r>
      <w:hyperlink r:id="rId79">
        <w:r>
          <w:rPr>
            <w:rStyle w:val="Hyperlink"/>
            <w:rFonts w:ascii="Times New Roman" w:hAnsi="Times New Roman"/>
            <w:b w:val="false"/>
            <w:i w:val="false"/>
            <w:color w:val="000000"/>
            <w:sz w:val="22"/>
          </w:rPr>
          <w:t>481—500.9</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paragraphs </w:t>
      </w:r>
      <w:hyperlink r:id="rId80">
        <w:r>
          <w:rPr>
            <w:rStyle w:val="Hyperlink"/>
            <w:rFonts w:ascii="Times New Roman" w:hAnsi="Times New Roman"/>
            <w:b w:val="false"/>
            <w:i w:val="false"/>
            <w:color w:val="000000"/>
            <w:sz w:val="22"/>
          </w:rPr>
          <w:t>880.12(4)</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880.12(5)</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shall administratively issue a two-year license. In the event the board receives adverse information on the renewal application, the board shall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880.12(6)</w:t>
      </w:r>
      <w:r>
        <w:rPr>
          <w:rFonts w:ascii="Times New Roman" w:hAnsi="Times New Roman"/>
          <w:b w:val="false"/>
          <w:i w:val="false"/>
          <w:color w:val="000000"/>
          <w:sz w:val="22"/>
        </w:rPr>
        <w:t> </w:t>
      </w:r>
      <w:r>
        <w:rPr>
          <w:rFonts w:ascii="Times New Roman" w:hAnsi="Times New Roman"/>
          <w:b w:val="false"/>
          <w:i w:val="false"/>
          <w:color w:val="000000"/>
          <w:sz w:val="22"/>
        </w:rPr>
        <w:t>A person licensed to practice as a psychologist shall keep the person’s license certificate and renewal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880.12(7)</w:t>
      </w:r>
      <w:r>
        <w:rPr>
          <w:rFonts w:ascii="Times New Roman" w:hAnsi="Times New Roman"/>
          <w:b w:val="false"/>
          <w:i w:val="false"/>
          <w:color w:val="000000"/>
          <w:sz w:val="22"/>
        </w:rPr>
        <w:t> </w:t>
      </w:r>
      <w:r>
        <w:rPr>
          <w:rFonts w:ascii="Times New Roman" w:hAnsi="Times New Roman"/>
          <w:b w:val="false"/>
          <w:i w:val="false"/>
          <w:color w:val="000000"/>
          <w:sz w:val="22"/>
        </w:rPr>
        <w:t>Late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 shall become late when the license has not been renewed by the expiration date on the renewal. The licensee shall be assessed a late fee as specified in </w:t>
      </w:r>
      <w:hyperlink r:id="rId81">
        <w:r>
          <w:rPr>
            <w:rStyle w:val="Hyperlink"/>
            <w:rFonts w:ascii="Times New Roman" w:hAnsi="Times New Roman"/>
            <w:b w:val="false"/>
            <w:i w:val="false"/>
            <w:color w:val="000000"/>
            <w:sz w:val="22"/>
          </w:rPr>
          <w:t>481—subrule 507.16(3)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renew a late license, the licensee shall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880.12(8)</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shall not practice as a psychologist or health service provider in psychology in Iowa until the license is reactivated. A licensee who practices as a psychologist or health service provider in psychology in the state of Iowa with an inactive license may be subject to disciplinary action by the board, injunctive action pursuant to Iowa Code section </w:t>
      </w:r>
      <w:hyperlink r:id="rId82">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83">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9401C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481—880.13</w:t>
      </w:r>
      <w:r>
        <w:rPr>
          <w:rFonts w:ascii="Times New Roman" w:hAnsi="Times New Roman"/>
          <w:b/>
          <w:i w:val="false"/>
          <w:color w:val="000000"/>
          <w:sz w:val="22"/>
        </w:rPr>
        <w:t xml:space="preserve">(154C) </w:t>
      </w:r>
      <w:r>
        <w:rPr>
          <w:rFonts w:ascii="Times New Roman" w:hAnsi="Times New Roman"/>
          <w:b/>
          <w:i w:val="false"/>
          <w:color w:val="000000"/>
          <w:sz w:val="22"/>
        </w:rPr>
        <w:t xml:space="preserve">Social work 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880.13(1)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social work will begin on January 1 of odd-numbered years and end on December 31 of the next even-numbered year. Every licensee will renew on a biennial basis. The licensee is responsible for renewing the license prior to its expiration. Failure of the licensee to receive notice does not relieve the licensee of the responsibility for renewing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880.13(2)</w:t>
      </w:r>
      <w:r>
        <w:rPr>
          <w:rFonts w:ascii="Times New Roman" w:hAnsi="Times New Roman"/>
          <w:b w:val="false"/>
          <w:i w:val="false"/>
          <w:color w:val="000000"/>
          <w:sz w:val="22"/>
        </w:rPr>
        <w:t> </w:t>
      </w:r>
      <w:r>
        <w:rPr>
          <w:rFonts w:ascii="Times New Roman" w:hAnsi="Times New Roman"/>
          <w:b w:val="false"/>
          <w:i w:val="false"/>
          <w:color w:val="000000"/>
          <w:sz w:val="22"/>
        </w:rPr>
        <w:t>Renewal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84">
        <w:r>
          <w:rPr>
            <w:rStyle w:val="Hyperlink"/>
            <w:rFonts w:ascii="Times New Roman" w:hAnsi="Times New Roman"/>
            <w:b w:val="false"/>
            <w:i w:val="false"/>
            <w:color w:val="000000"/>
            <w:sz w:val="22"/>
          </w:rPr>
          <w:t>481—881.2</w:t>
        </w:r>
      </w:hyperlink>
      <w:r>
        <w:rPr>
          <w:rFonts w:ascii="Times New Roman" w:hAnsi="Times New Roman"/>
          <w:b w:val="false"/>
          <w:i w:val="false"/>
          <w:color w:val="000000"/>
          <w:sz w:val="22"/>
        </w:rPr>
        <w:t xml:space="preserve">(272C) and the mandatory reporting requirements of subrule </w:t>
      </w:r>
      <w:hyperlink r:id="rId85">
        <w:r>
          <w:rPr>
            <w:rStyle w:val="Hyperlink"/>
            <w:rFonts w:ascii="Times New Roman" w:hAnsi="Times New Roman"/>
            <w:b w:val="false"/>
            <w:i w:val="false"/>
            <w:color w:val="000000"/>
            <w:sz w:val="22"/>
          </w:rPr>
          <w:t>880.13(3)</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Those persons licensed for the first time will not be required to complete continuing education as a prerequisite for the first renewal of their licenses. Continuing education hours acquired anytime from the initial licensing until the second license renewal may be used. The new licensee will be required to complete a minimum of 27 hours of continuing education per biennium for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Persons licensed to practice social work shall keep their renewal licenses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receive the notice of renewal will not relieve the licensee of the responsibility for submitting the required materials and the renewal fee to the board office 30 days before license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social worker whose Iowa license is delinquent, closed, retired, voluntarily surrendered, suspended, or revoked cannot advance to a higher level until the license is again active.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880.13(3)</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scope of professional practice or in the licensee’s employment responsibilities, examines, attends, counsels or treats children in Iowa shall indicate on the renewal application completion of two hours of training in child abuse identification and reporting as required by Iowa Code section </w:t>
      </w:r>
      <w:hyperlink r:id="rId86">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hyperlink r:id="rId87">
        <w:r>
          <w:rPr>
            <w:rStyle w:val="Hyperlink"/>
            <w:rFonts w:ascii="Times New Roman" w:hAnsi="Times New Roman"/>
            <w:b w:val="false"/>
            <w:i w:val="false"/>
            <w:color w:val="000000"/>
            <w:sz w:val="22"/>
          </w:rPr>
          <w:t>880.13(3)</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course of employment, examines, attends, counsels or treats adults in Iowa shall indicate on the renewal application completion of training in dependent adult abuse identification and reporting as required by Iowa Code section </w:t>
      </w:r>
      <w:hyperlink r:id="rId88">
        <w:r>
          <w:rPr>
            <w:rStyle w:val="Hyperlink"/>
            <w:rFonts w:ascii="Times New Roman" w:hAnsi="Times New Roman"/>
            <w:b w:val="false"/>
            <w:i w:val="false"/>
            <w:color w:val="000000"/>
            <w:sz w:val="22"/>
          </w:rPr>
          <w:t>235B.16(5)</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hyperlink r:id="rId89">
        <w:r>
          <w:rPr>
            <w:rStyle w:val="Hyperlink"/>
            <w:rFonts w:ascii="Times New Roman" w:hAnsi="Times New Roman"/>
            <w:b w:val="false"/>
            <w:i w:val="false"/>
            <w:color w:val="000000"/>
            <w:sz w:val="22"/>
          </w:rPr>
          <w:t>880.13(3)</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course(s) shall be the curriculum provided by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maintain written documentation for three years after mandatory training as identified in paragraphs </w:t>
      </w:r>
      <w:hyperlink r:id="rId90">
        <w:r>
          <w:rPr>
            <w:rStyle w:val="Hyperlink"/>
            <w:rFonts w:ascii="Times New Roman" w:hAnsi="Times New Roman"/>
            <w:b w:val="false"/>
            <w:i w:val="false"/>
            <w:color w:val="000000"/>
            <w:sz w:val="22"/>
          </w:rPr>
          <w:t>880.13(3)</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including program date(s), content, duration, and proof of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requirement for mandatory training for identifying and reporting child and dependent adult abuse shall be suspended if the board determines that suspension is in the public interest or that a person at the time of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engaged in active duty in the military service of this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Holds a current waiver by the board based on evidence of significant hardship in complying with training requirements, including an exemption of continuing education requirements or extension of time in which to fulfill requirements due to a physical or mental disability or illness as identified in rule </w:t>
      </w:r>
      <w:hyperlink r:id="rId91">
        <w:r>
          <w:rPr>
            <w:rStyle w:val="Hyperlink"/>
            <w:rFonts w:ascii="Times New Roman" w:hAnsi="Times New Roman"/>
            <w:b w:val="false"/>
            <w:i w:val="false"/>
            <w:color w:val="000000"/>
            <w:sz w:val="22"/>
          </w:rPr>
          <w:t>481—500.9</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paragraphs </w:t>
      </w:r>
      <w:hyperlink r:id="rId92">
        <w:r>
          <w:rPr>
            <w:rStyle w:val="Hyperlink"/>
            <w:rFonts w:ascii="Times New Roman" w:hAnsi="Times New Roman"/>
            <w:b w:val="false"/>
            <w:i w:val="false"/>
            <w:color w:val="000000"/>
            <w:sz w:val="22"/>
          </w:rPr>
          <w:t>880.13(3)</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880.13(4)</w:t>
      </w:r>
      <w:r>
        <w:rPr>
          <w:rFonts w:ascii="Times New Roman" w:hAnsi="Times New Roman"/>
          <w:b w:val="false"/>
          <w:i w:val="false"/>
          <w:color w:val="000000"/>
          <w:sz w:val="22"/>
        </w:rPr>
        <w:t> </w:t>
      </w:r>
      <w:r>
        <w:rPr>
          <w:rFonts w:ascii="Times New Roman" w:hAnsi="Times New Roman"/>
          <w:b w:val="false"/>
          <w:i w:val="false"/>
          <w:color w:val="000000"/>
          <w:sz w:val="22"/>
        </w:rPr>
        <w:t>Late renewal. To renew a late license, the licensee will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880.13(5)</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shall not practice as a social worker in Iowa until the license is reactivated. A licensee who practices as a social worker in the state of Iowa with an inactive license may be subject to disciplinary action by the board, injunctive action pursuant to Iowa Code section </w:t>
      </w:r>
      <w:hyperlink r:id="rId93">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94">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880.13(6)</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will administratively issue a two-year license. In the event the board receives adverse information on the renewal application, the board will issue the renewal license but may refer the adverse information for further consideration or disciplinary investigation.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9401C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481—880.14</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for mental health counselors, marital and family therapists, psychologists, and social workers.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880.14(1)</w:t>
      </w:r>
      <w:r>
        <w:rPr>
          <w:rFonts w:ascii="Times New Roman" w:hAnsi="Times New Roman"/>
          <w:b w:val="false"/>
          <w:i w:val="false"/>
          <w:color w:val="000000"/>
          <w:sz w:val="22"/>
        </w:rPr>
        <w:t> </w:t>
      </w:r>
      <w:r>
        <w:rPr>
          <w:rFonts w:ascii="Times New Roman" w:hAnsi="Times New Roman"/>
          <w:b w:val="false"/>
          <w:i w:val="false"/>
          <w:color w:val="000000"/>
          <w:sz w:val="22"/>
        </w:rPr>
        <w:t>Submit a reactivation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880.14(2)</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reactivation fee that is due as specified in </w:t>
      </w:r>
      <w:hyperlink r:id="rId95">
        <w:r>
          <w:rPr>
            <w:rStyle w:val="Hyperlink"/>
            <w:rFonts w:ascii="Times New Roman" w:hAnsi="Times New Roman"/>
            <w:b w:val="false"/>
            <w:i w:val="false"/>
            <w:color w:val="000000"/>
            <w:sz w:val="22"/>
          </w:rPr>
          <w:t>481—Chapter 507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880.14(3)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license from the jurisdiction in which the applicant has been most recently licensed, sent directly from the jurisdiction to the board office. The applicant must also disclose any public or pending complaints against the applicant in any other jurisdiction. Web-based verification may be substituted for verification directly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880.14(4)</w:t>
      </w:r>
      <w:r>
        <w:rPr>
          <w:rFonts w:ascii="Times New Roman" w:hAnsi="Times New Roman"/>
          <w:b w:val="false"/>
          <w:i w:val="false"/>
          <w:color w:val="000000"/>
          <w:sz w:val="22"/>
        </w:rPr>
        <w:t> </w:t>
      </w:r>
      <w:r>
        <w:rPr>
          <w:rFonts w:ascii="Times New Roman" w:hAnsi="Times New Roman"/>
          <w:b w:val="false"/>
          <w:i w:val="false"/>
          <w:color w:val="000000"/>
          <w:sz w:val="22"/>
        </w:rPr>
        <w:t>For mental health counseling and marriage and family therapy, provide verification of a current active license in another jurisdiction at the time of application or verification of completion of continuing education taken within two years of the application. If the license has been inactive for less than five years, the applicant must submit verification of 40 hours of continuing education, and if the license has been inactive for more than five years, the applicant must submit verification of 80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880.14(5)</w:t>
      </w:r>
      <w:r>
        <w:rPr>
          <w:rFonts w:ascii="Times New Roman" w:hAnsi="Times New Roman"/>
          <w:b w:val="false"/>
          <w:i w:val="false"/>
          <w:color w:val="000000"/>
          <w:sz w:val="22"/>
        </w:rPr>
        <w:t> </w:t>
      </w:r>
      <w:r>
        <w:rPr>
          <w:rFonts w:ascii="Times New Roman" w:hAnsi="Times New Roman"/>
          <w:b w:val="false"/>
          <w:i w:val="false"/>
          <w:color w:val="000000"/>
          <w:sz w:val="22"/>
        </w:rPr>
        <w:t>For psychology, provide verification of a current active license in another jurisdiction at the time of application or verification of completion of continuing education taken within two years of the application. If the license has been inactive for less than five years, the applicant must submit verification of 40 hours of continuing education, and if the license has been inactive for more than five years, the applicant must submit verification of 80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880.14(6)</w:t>
      </w:r>
      <w:r>
        <w:rPr>
          <w:rFonts w:ascii="Times New Roman" w:hAnsi="Times New Roman"/>
          <w:b w:val="false"/>
          <w:i w:val="false"/>
          <w:color w:val="000000"/>
          <w:sz w:val="22"/>
        </w:rPr>
        <w:t> </w:t>
      </w:r>
      <w:r>
        <w:rPr>
          <w:rFonts w:ascii="Times New Roman" w:hAnsi="Times New Roman"/>
          <w:b w:val="false"/>
          <w:i w:val="false"/>
          <w:color w:val="000000"/>
          <w:sz w:val="22"/>
        </w:rPr>
        <w:t>For social work,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completion of 27 hours of continuing education within two years of application for reactivation or verification of active practice, consisting of a minimum of 2,080 hours, in another state or jurisdiction during the two years preceding an application for reactivation.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license has been on inactive status for more than five years, the verification in paragraph </w:t>
      </w:r>
      <w:r>
        <w:rPr>
          <w:rFonts w:ascii="Times New Roman" w:hAnsi="Times New Roman"/>
          <w:b w:val="false"/>
          <w:i w:val="false"/>
          <w:color w:val="000000"/>
          <w:sz w:val="22"/>
        </w:rPr>
        <w:t>880.14(6)</w:t>
      </w:r>
      <w:r>
        <w:rPr>
          <w:rFonts w:ascii="Times New Roman" w:hAnsi="Times New Roman"/>
          <w:b w:val="false"/>
          <w:i/>
          <w:color w:val="000000"/>
          <w:sz w:val="22"/>
        </w:rPr>
        <w:t>“a”</w:t>
      </w:r>
      <w:r>
        <w:rPr>
          <w:rFonts w:ascii="Times New Roman" w:hAnsi="Times New Roman"/>
          <w:b w:val="false"/>
          <w:i w:val="false"/>
          <w:color w:val="000000"/>
          <w:sz w:val="22"/>
        </w:rPr>
        <w:t xml:space="preserve"> and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passing the ASWB examination within the last five years at the appropriate or higher level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Bachelor-level social worker—the bachelor’s level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Master-level social worker—the master’s level examination;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Independent-level social worker—the clinical level examination;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continued social work practice at the appropriate or higher level in another state for a minimum of two years immediately preceding the application for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9401C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481—880.15</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96">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and must apply for and be granted reactivation of the license in accordance with rule </w:t>
      </w:r>
      <w:hyperlink r:id="rId97">
        <w:r>
          <w:rPr>
            <w:rStyle w:val="Hyperlink"/>
            <w:rFonts w:ascii="Times New Roman" w:hAnsi="Times New Roman"/>
            <w:b w:val="false"/>
            <w:i w:val="false"/>
            <w:color w:val="000000"/>
            <w:sz w:val="22"/>
          </w:rPr>
          <w:t>481—880.14</w:t>
        </w:r>
      </w:hyperlink>
      <w:r>
        <w:rPr>
          <w:rFonts w:ascii="Times New Roman" w:hAnsi="Times New Roman"/>
          <w:b w:val="false"/>
          <w:i w:val="false"/>
          <w:color w:val="000000"/>
          <w:sz w:val="22"/>
        </w:rPr>
        <w:t>(17A,147,272C) prior to practicing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9401C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481—880.16</w:t>
      </w:r>
      <w:r>
        <w:rPr>
          <w:rFonts w:ascii="Times New Roman" w:hAnsi="Times New Roman"/>
          <w:b/>
          <w:i w:val="false"/>
          <w:color w:val="000000"/>
          <w:sz w:val="22"/>
        </w:rPr>
        <w:t xml:space="preserve">(154C) </w:t>
      </w:r>
      <w:r>
        <w:rPr>
          <w:rFonts w:ascii="Times New Roman" w:hAnsi="Times New Roman"/>
          <w:b/>
          <w:i w:val="false"/>
          <w:color w:val="000000"/>
          <w:sz w:val="22"/>
        </w:rPr>
        <w:t xml:space="preserve">Social work services subject to regulation. </w:t>
      </w:r>
      <w:r>
        <w:rPr>
          <w:rFonts w:ascii="Times New Roman" w:hAnsi="Times New Roman"/>
          <w:b w:val="false"/>
          <w:i w:val="false"/>
          <w:color w:val="000000"/>
          <w:sz w:val="22"/>
        </w:rPr>
        <w:t>Social work, marital and family therapy, and mental health counseling services provided to an individual in this state through telephonic, electronic or other means, regardless of the location of the practitioner, shall constitute the practice of the profession and are subject to regulation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9401C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481—880.17</w:t>
      </w:r>
      <w:r>
        <w:rPr>
          <w:rFonts w:ascii="Times New Roman" w:hAnsi="Times New Roman"/>
          <w:b/>
          <w:i w:val="false"/>
          <w:color w:val="000000"/>
          <w:sz w:val="22"/>
        </w:rPr>
        <w:t xml:space="preserve">(147,154B) </w:t>
      </w:r>
      <w:r>
        <w:rPr>
          <w:rFonts w:ascii="Times New Roman" w:hAnsi="Times New Roman"/>
          <w:b/>
          <w:i w:val="false"/>
          <w:color w:val="000000"/>
          <w:sz w:val="22"/>
        </w:rPr>
        <w:t xml:space="preserve">Psychology title designations.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880.17(1)</w:t>
      </w:r>
      <w:r>
        <w:rPr>
          <w:rFonts w:ascii="Times New Roman" w:hAnsi="Times New Roman"/>
          <w:b w:val="false"/>
          <w:i w:val="false"/>
          <w:color w:val="000000"/>
          <w:sz w:val="22"/>
        </w:rPr>
        <w:t> </w:t>
      </w:r>
      <w:r>
        <w:rPr>
          <w:rFonts w:ascii="Times New Roman" w:hAnsi="Times New Roman"/>
          <w:b w:val="false"/>
          <w:i w:val="false"/>
          <w:color w:val="000000"/>
          <w:sz w:val="22"/>
        </w:rPr>
        <w:t xml:space="preserve">Students who are enrolled in an education program that satisfies the requirements of subrule </w:t>
      </w:r>
      <w:hyperlink r:id="rId98">
        <w:r>
          <w:rPr>
            <w:rStyle w:val="Hyperlink"/>
            <w:rFonts w:ascii="Times New Roman" w:hAnsi="Times New Roman"/>
            <w:b w:val="false"/>
            <w:i w:val="false"/>
            <w:color w:val="000000"/>
            <w:sz w:val="22"/>
          </w:rPr>
          <w:t>880.4(4)</w:t>
        </w:r>
      </w:hyperlink>
      <w:r>
        <w:rPr>
          <w:rFonts w:ascii="Times New Roman" w:hAnsi="Times New Roman"/>
          <w:b w:val="false"/>
          <w:i w:val="false"/>
          <w:color w:val="000000"/>
          <w:sz w:val="22"/>
        </w:rPr>
        <w:t xml:space="preserve"> and who are completing the predoctoral internship may be designated “psychology intern” or “intern in psychology.”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880.17(2)</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for licensure who have met educational requirements and who are completing the postdoctoral residency to be eligible for licensure may be designated “psychology resident,” “resident in psychology,” “psychology postdoctoral fellow,” or “postdoctoral fellow in psychology.” The designation of “resident” shall not be used except during a postdoctoral residency that meets the requirements of rule </w:t>
      </w:r>
      <w:hyperlink r:id="rId99">
        <w:r>
          <w:rPr>
            <w:rStyle w:val="Hyperlink"/>
            <w:rFonts w:ascii="Times New Roman" w:hAnsi="Times New Roman"/>
            <w:b w:val="false"/>
            <w:i w:val="false"/>
            <w:color w:val="000000"/>
            <w:sz w:val="22"/>
          </w:rPr>
          <w:t>481—880.8</w:t>
        </w:r>
      </w:hyperlink>
      <w:r>
        <w:rPr>
          <w:rFonts w:ascii="Times New Roman" w:hAnsi="Times New Roman"/>
          <w:b w:val="false"/>
          <w:i w:val="false"/>
          <w:color w:val="000000"/>
          <w:sz w:val="22"/>
        </w:rPr>
        <w:t>(154B).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880.17(3)</w:t>
      </w:r>
      <w:r>
        <w:rPr>
          <w:rFonts w:ascii="Times New Roman" w:hAnsi="Times New Roman"/>
          <w:b w:val="false"/>
          <w:i w:val="false"/>
          <w:color w:val="000000"/>
          <w:sz w:val="22"/>
        </w:rPr>
        <w:t> </w:t>
      </w:r>
      <w:r>
        <w:rPr>
          <w:rFonts w:ascii="Times New Roman" w:hAnsi="Times New Roman"/>
          <w:b w:val="false"/>
          <w:i w:val="false"/>
          <w:color w:val="000000"/>
          <w:sz w:val="22"/>
        </w:rPr>
        <w:t>Persons who possess provisional licenses shall add the designation “provisional license in psychology” following the “resident,” “intern,” or “fellow” designation.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9401C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481—880.18</w:t>
      </w:r>
      <w:r>
        <w:rPr>
          <w:rFonts w:ascii="Times New Roman" w:hAnsi="Times New Roman"/>
          <w:b/>
          <w:i w:val="false"/>
          <w:color w:val="000000"/>
          <w:sz w:val="22"/>
        </w:rPr>
        <w:t xml:space="preserve">(147) </w:t>
      </w:r>
      <w:r>
        <w:rPr>
          <w:rFonts w:ascii="Times New Roman" w:hAnsi="Times New Roman"/>
          <w:b/>
          <w:i w:val="false"/>
          <w:color w:val="000000"/>
          <w:sz w:val="22"/>
        </w:rPr>
        <w:t xml:space="preserve">Professional counselor licensing compact. </w:t>
      </w:r>
      <w:r>
        <w:rPr>
          <w:rFonts w:ascii="Times New Roman" w:hAnsi="Times New Roman"/>
          <w:b w:val="false"/>
          <w:i w:val="false"/>
          <w:color w:val="000000"/>
          <w:sz w:val="22"/>
        </w:rPr>
        <w:t>The rules of the Counseling Compact Commission are incorporated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9401C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481—880.19</w:t>
      </w:r>
      <w:r>
        <w:rPr>
          <w:rFonts w:ascii="Times New Roman" w:hAnsi="Times New Roman"/>
          <w:b/>
          <w:i w:val="false"/>
          <w:color w:val="000000"/>
          <w:sz w:val="22"/>
        </w:rPr>
        <w:t xml:space="preserve">(154D) </w:t>
      </w:r>
      <w:r>
        <w:rPr>
          <w:rFonts w:ascii="Times New Roman" w:hAnsi="Times New Roman"/>
          <w:b/>
          <w:i w:val="false"/>
          <w:color w:val="000000"/>
          <w:sz w:val="22"/>
        </w:rPr>
        <w:t xml:space="preserve">Temporary licensees. </w:t>
      </w:r>
      <w:r>
        <w:rPr>
          <w:rFonts w:ascii="Times New Roman" w:hAnsi="Times New Roman"/>
          <w:b w:val="false"/>
          <w:i w:val="false"/>
          <w:color w:val="000000"/>
          <w:sz w:val="22"/>
        </w:rPr>
        <w:t>A temporary licensee shall engage only in the practice of marital and family therapy or mental health counseling as part of an agency or group practice with oversight over the temporary licensee. The agency or group practice shall have at least one independently licensed mental health provider. A temporary licensee shall not practice as a solo practitioner or solely with other temporary licensees.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9401C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0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01">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02">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 xml:space="preserve">, </w:t>
      </w:r>
      <w:hyperlink r:id="rId103">
        <w:r>
          <w:rPr>
            <w:rStyle w:val="Hyperlink"/>
            <w:rFonts w:ascii="Times New Roman" w:hAnsi="Times New Roman"/>
            <w:b w:val="false"/>
            <w:i w:val="false"/>
            <w:color w:val="000000"/>
            <w:sz w:val="22"/>
          </w:rPr>
          <w:t>154C</w:t>
        </w:r>
      </w:hyperlink>
      <w:r>
        <w:rPr>
          <w:rFonts w:ascii="Times New Roman" w:hAnsi="Times New Roman"/>
          <w:b w:val="false"/>
          <w:i w:val="false"/>
          <w:color w:val="000000"/>
          <w:sz w:val="22"/>
        </w:rPr>
        <w:t xml:space="preserve">, </w:t>
      </w:r>
      <w:hyperlink r:id="rId104">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xml:space="preserve"> and </w:t>
      </w:r>
      <w:hyperlink r:id="rId10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9401C</w:t>
      </w:r>
      <w:r>
        <w:rPr>
          <w:rFonts w:ascii="Times New Roman" w:hAnsi="Times New Roman"/>
          <w:b w:val="false"/>
          <w:i w:val="false"/>
          <w:color w:val="000000"/>
          <w:sz w:val="21"/>
        </w:rPr>
        <w:t xml:space="preserve"> (Notice ARC 8878C, IAB 2/19/25)</w:t>
      </w:r>
      <w:r>
        <w:rPr>
          <w:rFonts w:ascii="Times New Roman" w:hAnsi="Times New Roman"/>
          <w:b w:val="false"/>
          <w:i w:val="false"/>
          <w:color w:val="000000"/>
          <w:sz w:val="21"/>
        </w:rPr>
        <w:t>, IAB 7/9/25, effective 8/13/25]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880.11.pdf" Type="http://schemas.openxmlformats.org/officeDocument/2006/relationships/hyperlink" Id="rId5"/>
    <Relationship TargetMode="External" Target="https://www.legis.iowa.gov/docs/iac/rule/481.880.14.pdf" Type="http://schemas.openxmlformats.org/officeDocument/2006/relationships/hyperlink" Id="rId6"/>
    <Relationship TargetMode="External" Target="https://www.legis.iowa.gov/docs/iac/rule/481.506.31.pdf" Type="http://schemas.openxmlformats.org/officeDocument/2006/relationships/hyperlink" Id="rId7"/>
    <Relationship TargetMode="External" Target="https://www.legis.iowa.gov/docs/iac/rule/481.507.3.pdf" Type="http://schemas.openxmlformats.org/officeDocument/2006/relationships/hyperlink" Id="rId8"/>
    <Relationship TargetMode="External" Target="https://www.legis.iowa.gov/docs/iac/rule/481.880.4.pdf" Type="http://schemas.openxmlformats.org/officeDocument/2006/relationships/hyperlink" Id="rId9"/>
    <Relationship TargetMode="External" Target="https://www.legis.iowa.gov/docs/iac/rule/481.880.4.pdf" Type="http://schemas.openxmlformats.org/officeDocument/2006/relationships/hyperlink" Id="rId10"/>
    <Relationship TargetMode="External" Target="https://www.legis.iowa.gov/docs/iac/rule/481.880.4.pdf" Type="http://schemas.openxmlformats.org/officeDocument/2006/relationships/hyperlink" Id="rId11"/>
    <Relationship TargetMode="External" Target="https://www.legis.iowa.gov/docs/iac/rule/481.880.4.pdf" Type="http://schemas.openxmlformats.org/officeDocument/2006/relationships/hyperlink" Id="rId12"/>
    <Relationship TargetMode="External" Target="https://www.legis.iowa.gov/docs/iac/rule/481.880.3.pdf" Type="http://schemas.openxmlformats.org/officeDocument/2006/relationships/hyperlink" Id="rId13"/>
    <Relationship TargetMode="External" Target="https://www.legis.iowa.gov/docs/iac/rule/481.880.7.pdf" Type="http://schemas.openxmlformats.org/officeDocument/2006/relationships/hyperlink" Id="rId14"/>
    <Relationship TargetMode="External" Target="https://www.legis.iowa.gov/docs/iac/rule/481.507.3.pdf" Type="http://schemas.openxmlformats.org/officeDocument/2006/relationships/hyperlink" Id="rId15"/>
    <Relationship TargetMode="External" Target="https://www.legis.iowa.gov/docs/iac/rule/481.507.16.pdf" Type="http://schemas.openxmlformats.org/officeDocument/2006/relationships/hyperlink" Id="rId16"/>
    <Relationship TargetMode="External" Target="https://www.legis.iowa.gov/docs/iac/rule/481.507.16.pdf" Type="http://schemas.openxmlformats.org/officeDocument/2006/relationships/hyperlink" Id="rId17"/>
    <Relationship TargetMode="External" Target="https://www.legis.iowa.gov/docs/iac/rule/481.880.4.pdf" Type="http://schemas.openxmlformats.org/officeDocument/2006/relationships/hyperlink" Id="rId18"/>
    <Relationship TargetMode="External" Target="https://www.legis.iowa.gov/docs/iac/rule/481.507.16.pdf" Type="http://schemas.openxmlformats.org/officeDocument/2006/relationships/hyperlink" Id="rId19"/>
    <Relationship TargetMode="External" Target="https://www.legis.iowa.gov/docs/iac/rule/481.880.4.pdf" Type="http://schemas.openxmlformats.org/officeDocument/2006/relationships/hyperlink" Id="rId20"/>
    <Relationship TargetMode="External" Target="https://www.legis.iowa.gov/docs/iac/rule/481.880.2.pdf" Type="http://schemas.openxmlformats.org/officeDocument/2006/relationships/hyperlink" Id="rId21"/>
    <Relationship TargetMode="External" Target="https://www.legis.iowa.gov/docs/iac/rule/481.880.8.pdf" Type="http://schemas.openxmlformats.org/officeDocument/2006/relationships/hyperlink" Id="rId22"/>
    <Relationship TargetMode="External" Target="https://www.legis.iowa.gov/docs/ico/chapter/154B.3.pdf" Type="http://schemas.openxmlformats.org/officeDocument/2006/relationships/hyperlink" Id="rId23"/>
    <Relationship TargetMode="External" Target="https://www.legis.iowa.gov/docs/iac/rule/481.507.16.pdf" Type="http://schemas.openxmlformats.org/officeDocument/2006/relationships/hyperlink" Id="rId24"/>
    <Relationship TargetMode="External" Target="https://www.legis.iowa.gov/docs/iac/rule/481.507.19.pdf" Type="http://schemas.openxmlformats.org/officeDocument/2006/relationships/hyperlink" Id="rId25"/>
    <Relationship TargetMode="External" Target="https://www.legis.iowa.gov/docs/iac/rule/481.880.2.pdf" Type="http://schemas.openxmlformats.org/officeDocument/2006/relationships/hyperlink" Id="rId26"/>
    <Relationship TargetMode="External" Target="https://www.legis.iowa.gov/docs/iac/rule/481.880.3.pdf" Type="http://schemas.openxmlformats.org/officeDocument/2006/relationships/hyperlink" Id="rId27"/>
    <Relationship TargetMode="External" Target="https://www.legis.iowa.gov/docs/iac/rule/481.880.2.pdf" Type="http://schemas.openxmlformats.org/officeDocument/2006/relationships/hyperlink" Id="rId28"/>
    <Relationship TargetMode="External" Target="https://www.legis.iowa.gov/docs/iac/rule/481.507.3.pdf" Type="http://schemas.openxmlformats.org/officeDocument/2006/relationships/hyperlink" Id="rId29"/>
    <Relationship TargetMode="External" Target="https://www.legis.iowa.gov/docs/iac/rule/481.880.2.pdf" Type="http://schemas.openxmlformats.org/officeDocument/2006/relationships/hyperlink" Id="rId30"/>
    <Relationship TargetMode="External" Target="https://www.legis.iowa.gov/docs/iac/rule/481.880.4.pdf" Type="http://schemas.openxmlformats.org/officeDocument/2006/relationships/hyperlink" Id="rId31"/>
    <Relationship TargetMode="External" Target="https://www.legis.iowa.gov/docs/iac/rule/481.880.2.pdf" Type="http://schemas.openxmlformats.org/officeDocument/2006/relationships/hyperlink" Id="rId32"/>
    <Relationship TargetMode="External" Target="https://www.legis.iowa.gov/docs/iac/rule/481.880.3.pdf" Type="http://schemas.openxmlformats.org/officeDocument/2006/relationships/hyperlink" Id="rId33"/>
    <Relationship TargetMode="External" Target="https://www.legis.iowa.gov/docs/iac/rule/481.880.3.pdf" Type="http://schemas.openxmlformats.org/officeDocument/2006/relationships/hyperlink" Id="rId34"/>
    <Relationship TargetMode="External" Target="https://www.legis.iowa.gov/docs/iac/rule/481.880.4.pdf" Type="http://schemas.openxmlformats.org/officeDocument/2006/relationships/hyperlink" Id="rId35"/>
    <Relationship TargetMode="External" Target="http://cce-global.org" Type="http://schemas.openxmlformats.org/officeDocument/2006/relationships/hyperlink" Id="rId36"/>
    <Relationship TargetMode="External" Target="https://www.legis.iowa.gov/docs/iac/rule/481.880.4.pdf" Type="http://schemas.openxmlformats.org/officeDocument/2006/relationships/hyperlink" Id="rId37"/>
    <Relationship TargetMode="External" Target="http://cce-global.org" Type="http://schemas.openxmlformats.org/officeDocument/2006/relationships/hyperlink" Id="rId38"/>
    <Relationship TargetMode="External" Target="http://www.ierf.org" Type="http://schemas.openxmlformats.org/officeDocument/2006/relationships/hyperlink" Id="rId39"/>
    <Relationship TargetMode="External" Target="mailto:info@ierf.org" Type="http://schemas.openxmlformats.org/officeDocument/2006/relationships/hyperlink" Id="rId40"/>
    <Relationship TargetMode="External" Target="https://www.legis.iowa.gov/docs/iac/rule/481.880.4.pdf" Type="http://schemas.openxmlformats.org/officeDocument/2006/relationships/hyperlink" Id="rId41"/>
    <Relationship TargetMode="External" Target="http://www.nationalregister.org" Type="http://schemas.openxmlformats.org/officeDocument/2006/relationships/hyperlink" Id="rId42"/>
    <Relationship TargetMode="External" Target="http://www.naces.org" Type="http://schemas.openxmlformats.org/officeDocument/2006/relationships/hyperlink" Id="rId43"/>
    <Relationship TargetMode="External" Target="https://www.legis.iowa.gov/docs/iac/rule/481.880.4.pdf" Type="http://schemas.openxmlformats.org/officeDocument/2006/relationships/hyperlink" Id="rId44"/>
    <Relationship TargetMode="External" Target="http://www.ierf.org" Type="http://schemas.openxmlformats.org/officeDocument/2006/relationships/hyperlink" Id="rId45"/>
    <Relationship TargetMode="External" Target="mailto:info@ierf.org" Type="http://schemas.openxmlformats.org/officeDocument/2006/relationships/hyperlink" Id="rId46"/>
    <Relationship TargetMode="External" Target="http://www.cswe.org" Type="http://schemas.openxmlformats.org/officeDocument/2006/relationships/hyperlink" Id="rId47"/>
    <Relationship TargetMode="External" Target="https://www.legis.iowa.gov/docs/iac/rule/481.880.2.pdf" Type="http://schemas.openxmlformats.org/officeDocument/2006/relationships/hyperlink" Id="rId48"/>
    <Relationship TargetMode="External" Target="https://www.legis.iowa.gov/docs/iac/rule/481.501.1.pdf" Type="http://schemas.openxmlformats.org/officeDocument/2006/relationships/hyperlink" Id="rId49"/>
    <Relationship TargetMode="External" Target="https://www.legis.iowa.gov/docs/iac/rule/481.507.16.pdf" Type="http://schemas.openxmlformats.org/officeDocument/2006/relationships/hyperlink" Id="rId50"/>
    <Relationship TargetMode="External" Target="https://www.legis.iowa.gov/docs/iac/rule/481.880.6.pdf" Type="http://schemas.openxmlformats.org/officeDocument/2006/relationships/hyperlink" Id="rId51"/>
    <Relationship TargetMode="External" Target="https://www.legis.iowa.gov/docs/iac/rule/481.880.4.pdf" Type="http://schemas.openxmlformats.org/officeDocument/2006/relationships/hyperlink" Id="rId52"/>
    <Relationship TargetMode="External" Target="https://www.legis.iowa.gov/docs/iac/rule/481.880.6.pdf" Type="http://schemas.openxmlformats.org/officeDocument/2006/relationships/hyperlink" Id="rId53"/>
    <Relationship TargetMode="External" Target="https://www.legis.iowa.gov/docs/iac/rule/481.501.1.pdf" Type="http://schemas.openxmlformats.org/officeDocument/2006/relationships/hyperlink" Id="rId54"/>
    <Relationship TargetMode="External" Target="https://www.legis.iowa.gov/docs/iac/rule/481.880.17.pdf" Type="http://schemas.openxmlformats.org/officeDocument/2006/relationships/hyperlink" Id="rId55"/>
    <Relationship TargetMode="External" Target="https://www.legis.iowa.gov/docs/iac/rule/481.880.17.pdf" Type="http://schemas.openxmlformats.org/officeDocument/2006/relationships/hyperlink" Id="rId56"/>
    <Relationship TargetMode="External" Target="https://www.legis.iowa.gov/docs/iac/rule/481.881.2.pdf" Type="http://schemas.openxmlformats.org/officeDocument/2006/relationships/hyperlink" Id="rId57"/>
    <Relationship TargetMode="External" Target="https://www.legis.iowa.gov/docs/ico/chapter/232.69.pdf" Type="http://schemas.openxmlformats.org/officeDocument/2006/relationships/hyperlink" Id="rId58"/>
    <Relationship TargetMode="External" Target="https://www.legis.iowa.gov/docs/iac/rule/481.880.10.pdf" Type="http://schemas.openxmlformats.org/officeDocument/2006/relationships/hyperlink" Id="rId59"/>
    <Relationship TargetMode="External" Target="https://www.legis.iowa.gov/docs/ico/chapter/235B.16.pdf" Type="http://schemas.openxmlformats.org/officeDocument/2006/relationships/hyperlink" Id="rId60"/>
    <Relationship TargetMode="External" Target="https://www.legis.iowa.gov/docs/iac/rule/481.880.10.pdf" Type="http://schemas.openxmlformats.org/officeDocument/2006/relationships/hyperlink" Id="rId61"/>
    <Relationship TargetMode="External" Target="https://www.legis.iowa.gov/docs/iac/rule/481.880.10.pdf" Type="http://schemas.openxmlformats.org/officeDocument/2006/relationships/hyperlink" Id="rId62"/>
    <Relationship TargetMode="External" Target="https://www.legis.iowa.gov/docs/iac/chapter/481.500.pdf" Type="http://schemas.openxmlformats.org/officeDocument/2006/relationships/hyperlink" Id="rId63"/>
    <Relationship TargetMode="External" Target="https://www.legis.iowa.gov/docs/iac/rule/481.880.10.pdf" Type="http://schemas.openxmlformats.org/officeDocument/2006/relationships/hyperlink" Id="rId64"/>
    <Relationship TargetMode="External" Target="https://www.legis.iowa.gov/docs/iac/rule/481.507.3.pdf" Type="http://schemas.openxmlformats.org/officeDocument/2006/relationships/hyperlink" Id="rId65"/>
    <Relationship TargetMode="External" Target="https://www.legis.iowa.gov/docs/ico/chapter/147.83.pdf" Type="http://schemas.openxmlformats.org/officeDocument/2006/relationships/hyperlink" Id="rId66"/>
    <Relationship TargetMode="External" Target="https://www.legis.iowa.gov/docs/ico/chapter/147.86.pdf" Type="http://schemas.openxmlformats.org/officeDocument/2006/relationships/hyperlink" Id="rId67"/>
    <Relationship TargetMode="External" Target="https://www.legis.iowa.gov/docs/iac/rule/481.507.3.pdf" Type="http://schemas.openxmlformats.org/officeDocument/2006/relationships/hyperlink" Id="rId68"/>
    <Relationship TargetMode="External" Target="https://www.legis.iowa.gov/docs/ico/chapter/147.83.pdf" Type="http://schemas.openxmlformats.org/officeDocument/2006/relationships/hyperlink" Id="rId69"/>
    <Relationship TargetMode="External" Target="https://www.legis.iowa.gov/docs/ico/chapter/147.86.pdf" Type="http://schemas.openxmlformats.org/officeDocument/2006/relationships/hyperlink" Id="rId70"/>
    <Relationship TargetMode="External" Target="https://www.legis.iowa.gov/docs/iac/rule/481.507.3.pdf" Type="http://schemas.openxmlformats.org/officeDocument/2006/relationships/hyperlink" Id="rId71"/>
    <Relationship TargetMode="External" Target="https://www.legis.iowa.gov/docs/iac/rule/481.881.2.pdf" Type="http://schemas.openxmlformats.org/officeDocument/2006/relationships/hyperlink" Id="rId72"/>
    <Relationship TargetMode="External" Target="https://www.legis.iowa.gov/docs/iac/rule/481.880.12.pdf" Type="http://schemas.openxmlformats.org/officeDocument/2006/relationships/hyperlink" Id="rId73"/>
    <Relationship TargetMode="External" Target="https://www.legis.iowa.gov/docs/ico/chapter/232.69.pdf" Type="http://schemas.openxmlformats.org/officeDocument/2006/relationships/hyperlink" Id="rId74"/>
    <Relationship TargetMode="External" Target="https://www.legis.iowa.gov/docs/iac/rule/481.880.12.pdf" Type="http://schemas.openxmlformats.org/officeDocument/2006/relationships/hyperlink" Id="rId75"/>
    <Relationship TargetMode="External" Target="https://www.legis.iowa.gov/docs/ico/chapter/235B.16.pdf" Type="http://schemas.openxmlformats.org/officeDocument/2006/relationships/hyperlink" Id="rId76"/>
    <Relationship TargetMode="External" Target="https://www.legis.iowa.gov/docs/iac/rule/481.880.12.pdf" Type="http://schemas.openxmlformats.org/officeDocument/2006/relationships/hyperlink" Id="rId77"/>
    <Relationship TargetMode="External" Target="https://www.legis.iowa.gov/docs/iac/rule/481.880.12.pdf" Type="http://schemas.openxmlformats.org/officeDocument/2006/relationships/hyperlink" Id="rId78"/>
    <Relationship TargetMode="External" Target="https://www.legis.iowa.gov/docs/iac/rule/481.500.9.pdf" Type="http://schemas.openxmlformats.org/officeDocument/2006/relationships/hyperlink" Id="rId79"/>
    <Relationship TargetMode="External" Target="https://www.legis.iowa.gov/docs/iac/rule/481.880.12.pdf" Type="http://schemas.openxmlformats.org/officeDocument/2006/relationships/hyperlink" Id="rId80"/>
    <Relationship TargetMode="External" Target="https://www.legis.iowa.gov/docs/iac/rule/481.507.16.pdf" Type="http://schemas.openxmlformats.org/officeDocument/2006/relationships/hyperlink" Id="rId81"/>
    <Relationship TargetMode="External" Target="https://www.legis.iowa.gov/docs/ico/chapter/147.83.pdf" Type="http://schemas.openxmlformats.org/officeDocument/2006/relationships/hyperlink" Id="rId82"/>
    <Relationship TargetMode="External" Target="https://www.legis.iowa.gov/docs/ico/chapter/147.86.pdf" Type="http://schemas.openxmlformats.org/officeDocument/2006/relationships/hyperlink" Id="rId83"/>
    <Relationship TargetMode="External" Target="https://www.legis.iowa.gov/docs/iac/rule/481.881.2.pdf" Type="http://schemas.openxmlformats.org/officeDocument/2006/relationships/hyperlink" Id="rId84"/>
    <Relationship TargetMode="External" Target="https://www.legis.iowa.gov/docs/iac/rule/481.880.13.pdf" Type="http://schemas.openxmlformats.org/officeDocument/2006/relationships/hyperlink" Id="rId85"/>
    <Relationship TargetMode="External" Target="https://www.legis.iowa.gov/docs/ico/chapter/232.69.pdf" Type="http://schemas.openxmlformats.org/officeDocument/2006/relationships/hyperlink" Id="rId86"/>
    <Relationship TargetMode="External" Target="https://www.legis.iowa.gov/docs/iac/rule/481.880.13.pdf" Type="http://schemas.openxmlformats.org/officeDocument/2006/relationships/hyperlink" Id="rId87"/>
    <Relationship TargetMode="External" Target="https://www.legis.iowa.gov/docs/ico/chapter/235B.16.pdf" Type="http://schemas.openxmlformats.org/officeDocument/2006/relationships/hyperlink" Id="rId88"/>
    <Relationship TargetMode="External" Target="https://www.legis.iowa.gov/docs/iac/rule/481.880.13.pdf" Type="http://schemas.openxmlformats.org/officeDocument/2006/relationships/hyperlink" Id="rId89"/>
    <Relationship TargetMode="External" Target="https://www.legis.iowa.gov/docs/iac/rule/481.880.13.pdf" Type="http://schemas.openxmlformats.org/officeDocument/2006/relationships/hyperlink" Id="rId90"/>
    <Relationship TargetMode="External" Target="https://www.legis.iowa.gov/docs/iac/rule/481.500.9.pdf" Type="http://schemas.openxmlformats.org/officeDocument/2006/relationships/hyperlink" Id="rId91"/>
    <Relationship TargetMode="External" Target="https://www.legis.iowa.gov/docs/iac/rule/481.880.13.pdf" Type="http://schemas.openxmlformats.org/officeDocument/2006/relationships/hyperlink" Id="rId92"/>
    <Relationship TargetMode="External" Target="https://www.legis.iowa.gov/docs/ico/chapter/147.83.pdf" Type="http://schemas.openxmlformats.org/officeDocument/2006/relationships/hyperlink" Id="rId93"/>
    <Relationship TargetMode="External" Target="https://www.legis.iowa.gov/docs/ico/chapter/147.86.pdf" Type="http://schemas.openxmlformats.org/officeDocument/2006/relationships/hyperlink" Id="rId94"/>
    <Relationship TargetMode="External" Target="https://www.legis.iowa.gov/docs/iac/chapter/481.507.pdf" Type="http://schemas.openxmlformats.org/officeDocument/2006/relationships/hyperlink" Id="rId95"/>
    <Relationship TargetMode="External" Target="https://www.legis.iowa.gov/docs/iac/rule/481.506.31.pdf" Type="http://schemas.openxmlformats.org/officeDocument/2006/relationships/hyperlink" Id="rId96"/>
    <Relationship TargetMode="External" Target="https://www.legis.iowa.gov/docs/iac/rule/481.880.14.pdf" Type="http://schemas.openxmlformats.org/officeDocument/2006/relationships/hyperlink" Id="rId97"/>
    <Relationship TargetMode="External" Target="https://www.legis.iowa.gov/docs/iac/rule/481.880.4.pdf" Type="http://schemas.openxmlformats.org/officeDocument/2006/relationships/hyperlink" Id="rId98"/>
    <Relationship TargetMode="External" Target="https://www.legis.iowa.gov/docs/iac/rule/481.880.8.pdf" Type="http://schemas.openxmlformats.org/officeDocument/2006/relationships/hyperlink" Id="rId99"/>
    <Relationship TargetMode="External" Target="https://www.legis.iowa.gov/docs/ico/chapter/17A.pdf" Type="http://schemas.openxmlformats.org/officeDocument/2006/relationships/hyperlink" Id="rId100"/>
    <Relationship TargetMode="External" Target="https://www.legis.iowa.gov/docs/ico/chapter/147.pdf" Type="http://schemas.openxmlformats.org/officeDocument/2006/relationships/hyperlink" Id="rId101"/>
    <Relationship TargetMode="External" Target="https://www.legis.iowa.gov/docs/ico/chapter/154B.pdf" Type="http://schemas.openxmlformats.org/officeDocument/2006/relationships/hyperlink" Id="rId102"/>
    <Relationship TargetMode="External" Target="https://www.legis.iowa.gov/docs/ico/chapter/154C.pdf" Type="http://schemas.openxmlformats.org/officeDocument/2006/relationships/hyperlink" Id="rId103"/>
    <Relationship TargetMode="External" Target="https://www.legis.iowa.gov/docs/ico/chapter/154D.pdf" Type="http://schemas.openxmlformats.org/officeDocument/2006/relationships/hyperlink" Id="rId104"/>
    <Relationship TargetMode="External" Target="https://www.legis.iowa.gov/docs/ico/chapter/272C.pdf" Type="http://schemas.openxmlformats.org/officeDocument/2006/relationships/hyperlink" Id="rId10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