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XVI</w:t>
      </w:r>
    </w:p>
    <w:p>
      <w:pPr>
        <w:pBdr>
          <w:bottom w:space="3"/>
        </w:pBdr>
        <w:spacing w:before="0" w:after="0"/>
        <w:ind w:left="120"/>
        <w:jc w:val="center"/>
      </w:pPr>
      <w:r>
        <w:rPr>
          <w:rFonts w:ascii="Times New Roman" w:hAnsi="Times New Roman"/>
          <w:b w:val="false"/>
          <w:i/>
          <w:color w:val="000000"/>
          <w:sz w:val="16"/>
        </w:rPr>
        <w:t>SCHOOL FACILITIES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w:t>
      </w:r>
    </w:p>
    <w:p>
      <w:pPr>
        <w:spacing w:before="0" w:after="0"/>
        <w:ind w:left="120"/>
        <w:jc w:val="center"/>
      </w:pPr>
      <w:r>
        <w:rPr>
          <w:rFonts w:ascii="Times New Roman" w:hAnsi="Times New Roman"/>
          <w:b w:val="false"/>
          <w:i w:val="false"/>
          <w:color w:val="000000"/>
          <w:sz w:val="21"/>
        </w:rPr>
        <w:t xml:space="preserve">STATEWIDE SALES AND </w:t>
      </w:r>
      <w:r>
        <w:br/>
      </w:r>
      <w:r>
        <w:rPr>
          <w:rFonts w:ascii="Times New Roman" w:hAnsi="Times New Roman"/>
          <w:b w:val="false"/>
          <w:i w:val="false"/>
          <w:color w:val="000000"/>
          <w:sz w:val="21"/>
        </w:rPr>
        <w:t>SERVICES TAX FOR SCHOOL INFRASTRUCTURE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281—96.1</w:t>
      </w:r>
      <w:r>
        <w:rPr>
          <w:rFonts w:ascii="Times New Roman" w:hAnsi="Times New Roman"/>
          <w:b/>
          <w:i w:val="false"/>
          <w:color w:val="000000"/>
          <w:sz w:val="22"/>
        </w:rPr>
        <w:t xml:space="preserve">(423E,423F)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“Actual enrollment” </w:t>
      </w:r>
      <w:r>
        <w:rPr>
          <w:rFonts w:ascii="Times New Roman" w:hAnsi="Times New Roman"/>
          <w:b w:val="false"/>
          <w:i w:val="false"/>
          <w:color w:val="000000"/>
          <w:sz w:val="22"/>
        </w:rPr>
        <w:t xml:space="preserve">means the number of students each school district certifies to the department by October 15 of each year in accordance with Iowa Code section </w:t>
      </w:r>
      <w:hyperlink r:id="rId5">
        <w:r>
          <w:rPr>
            <w:rStyle w:val="Hyperlink"/>
            <w:rFonts w:ascii="Times New Roman" w:hAnsi="Times New Roman"/>
            <w:b w:val="false"/>
            <w:i w:val="false"/>
            <w:color w:val="000000"/>
            <w:sz w:val="22"/>
          </w:rPr>
          <w:t>257.6(1)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year” </w:t>
      </w:r>
      <w:r>
        <w:rPr>
          <w:rFonts w:ascii="Times New Roman" w:hAnsi="Times New Roman"/>
          <w:b w:val="false"/>
          <w:i w:val="false"/>
          <w:color w:val="000000"/>
          <w:sz w:val="22"/>
        </w:rPr>
        <w:t>means the school year ending during the calendar year in which the budget is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need” </w:t>
      </w:r>
      <w:r>
        <w:rPr>
          <w:rFonts w:ascii="Times New Roman" w:hAnsi="Times New Roman"/>
          <w:b w:val="false"/>
          <w:i w:val="false"/>
          <w:color w:val="000000"/>
          <w:sz w:val="22"/>
        </w:rPr>
        <w:t>means the written department of education approval a school district must obtain if the district has a certified enrollment of fewer than 250 students or a certified enrollment of fewer than 100 students in grades 9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“Combined actual enrollment” </w:t>
      </w:r>
      <w:r>
        <w:rPr>
          <w:rFonts w:ascii="Times New Roman" w:hAnsi="Times New Roman"/>
          <w:b w:val="false"/>
          <w:i w:val="false"/>
          <w:color w:val="000000"/>
          <w:sz w:val="22"/>
        </w:rPr>
        <w:t xml:space="preserve">means the sum of the students in each school district located in whole or in part in a county who are residents of that county as determined by rule </w:t>
      </w:r>
      <w:hyperlink r:id="rId6">
        <w:r>
          <w:rPr>
            <w:rStyle w:val="Hyperlink"/>
            <w:rFonts w:ascii="Times New Roman" w:hAnsi="Times New Roman"/>
            <w:b w:val="false"/>
            <w:i w:val="false"/>
            <w:color w:val="000000"/>
            <w:sz w:val="22"/>
          </w:rPr>
          <w:t>281—96.2</w:t>
        </w:r>
      </w:hyperlink>
      <w:r>
        <w:rPr>
          <w:rFonts w:ascii="Times New Roman" w:hAnsi="Times New Roman"/>
          <w:b w:val="false"/>
          <w:i w:val="false"/>
          <w:color w:val="000000"/>
          <w:sz w:val="22"/>
        </w:rPr>
        <w:t>(423E,423F).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state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“Guaranteed school infrastructure amount” </w:t>
      </w:r>
      <w:r>
        <w:rPr>
          <w:rFonts w:ascii="Times New Roman" w:hAnsi="Times New Roman"/>
          <w:b w:val="false"/>
          <w:i w:val="false"/>
          <w:color w:val="000000"/>
          <w:sz w:val="22"/>
        </w:rPr>
        <w:t>means for a school district the statewide tax revenues per student, multiplied by the quotient of the tax rate percent imposed in the county, divided by 1 percent and multiplied by the quotient of the number of quarters the tax is imposed during the fiscal year divided by four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construction” </w:t>
      </w:r>
      <w:r>
        <w:rPr>
          <w:rFonts w:ascii="Times New Roman" w:hAnsi="Times New Roman"/>
          <w:b w:val="false"/>
          <w:i w:val="false"/>
          <w:color w:val="000000"/>
          <w:sz w:val="22"/>
        </w:rPr>
        <w:t>means any erection of a facility or any modification or addition to a facility except for repairing existing schoolhouses or school buildings or for construction necessary for compliance with the federal Americans with Disabilities Act, 42 U.S.C. Sections 12101 to 12117, effective February 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“Nonresident student” </w:t>
      </w:r>
      <w:r>
        <w:rPr>
          <w:rFonts w:ascii="Times New Roman" w:hAnsi="Times New Roman"/>
          <w:b w:val="false"/>
          <w:i w:val="false"/>
          <w:color w:val="000000"/>
          <w:sz w:val="22"/>
        </w:rPr>
        <w:t xml:space="preserve">means a student enrolled in a school district who does not meet the definition of a resident in Iowa Code section </w:t>
      </w:r>
      <w:hyperlink r:id="rId7">
        <w:r>
          <w:rPr>
            <w:rStyle w:val="Hyperlink"/>
            <w:rFonts w:ascii="Times New Roman" w:hAnsi="Times New Roman"/>
            <w:b w:val="false"/>
            <w:i w:val="false"/>
            <w:color w:val="000000"/>
            <w:sz w:val="22"/>
          </w:rPr>
          <w:t>282.1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“Reconstruction” </w:t>
      </w:r>
      <w:r>
        <w:rPr>
          <w:rFonts w:ascii="Times New Roman" w:hAnsi="Times New Roman"/>
          <w:b w:val="false"/>
          <w:i w:val="false"/>
          <w:color w:val="000000"/>
          <w:sz w:val="22"/>
        </w:rPr>
        <w:t>means rebuilding or restoring as an entity a thing that was lost or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“Repair” </w:t>
      </w:r>
      <w:r>
        <w:rPr>
          <w:rFonts w:ascii="Times New Roman" w:hAnsi="Times New Roman"/>
          <w:b w:val="false"/>
          <w:i w:val="false"/>
          <w:color w:val="000000"/>
          <w:sz w:val="22"/>
        </w:rPr>
        <w:t>means restoring an existing structure or thing to its original condition, as near as may be, after decay, waste, injury, or partial destruction, but does not include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student” </w:t>
      </w:r>
      <w:r>
        <w:rPr>
          <w:rFonts w:ascii="Times New Roman" w:hAnsi="Times New Roman"/>
          <w:b w:val="false"/>
          <w:i w:val="false"/>
          <w:color w:val="000000"/>
          <w:sz w:val="22"/>
        </w:rPr>
        <w:t xml:space="preserve">means a student enrolled in a school district who meets the definition of a resident in Iowa Code section </w:t>
      </w:r>
      <w:hyperlink r:id="rId8">
        <w:r>
          <w:rPr>
            <w:rStyle w:val="Hyperlink"/>
            <w:rFonts w:ascii="Times New Roman" w:hAnsi="Times New Roman"/>
            <w:b w:val="false"/>
            <w:i w:val="false"/>
            <w:color w:val="000000"/>
            <w:sz w:val="22"/>
          </w:rPr>
          <w:t>282.1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“Revenue purpose statement” </w:t>
      </w:r>
      <w:r>
        <w:rPr>
          <w:rFonts w:ascii="Times New Roman" w:hAnsi="Times New Roman"/>
          <w:b w:val="false"/>
          <w:i w:val="false"/>
          <w:color w:val="000000"/>
          <w:sz w:val="22"/>
        </w:rPr>
        <w:t xml:space="preserve">means a document prepared by the school district indicating the specific purpose or purposes for which the funding, pursuant to Iowa Code chapters </w:t>
      </w:r>
      <w:hyperlink r:id="rId9">
        <w:r>
          <w:rPr>
            <w:rStyle w:val="Hyperlink"/>
            <w:rFonts w:ascii="Times New Roman" w:hAnsi="Times New Roman"/>
            <w:b w:val="false"/>
            <w:i w:val="false"/>
            <w:color w:val="000000"/>
            <w:sz w:val="22"/>
          </w:rPr>
          <w:t>423E</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 will be expended.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 tax” </w:t>
      </w:r>
      <w:r>
        <w:rPr>
          <w:rFonts w:ascii="Times New Roman" w:hAnsi="Times New Roman"/>
          <w:b w:val="false"/>
          <w:i w:val="false"/>
          <w:color w:val="000000"/>
          <w:sz w:val="22"/>
        </w:rPr>
        <w:t xml:space="preserve">means the statewide sales and services tax for school infrastructure imposed in accordance with Iowa Code chapter </w:t>
      </w:r>
      <w:hyperlink r:id="rId11">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budget review committee”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“SBRC” </w:t>
      </w:r>
      <w:r>
        <w:rPr>
          <w:rFonts w:ascii="Times New Roman" w:hAnsi="Times New Roman"/>
          <w:b w:val="false"/>
          <w:i w:val="false"/>
          <w:color w:val="000000"/>
          <w:sz w:val="22"/>
        </w:rPr>
        <w:t xml:space="preserve">means a committee that is established under Iowa Code section </w:t>
      </w:r>
      <w:hyperlink r:id="rId12">
        <w:r>
          <w:rPr>
            <w:rStyle w:val="Hyperlink"/>
            <w:rFonts w:ascii="Times New Roman" w:hAnsi="Times New Roman"/>
            <w:b w:val="false"/>
            <w:i w:val="false"/>
            <w:color w:val="000000"/>
            <w:sz w:val="22"/>
          </w:rPr>
          <w:t>257.30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means a public school district in Iowa accredited by the state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infrastructure”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423F.3(6)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improvement” </w:t>
      </w:r>
      <w:r>
        <w:rPr>
          <w:rFonts w:ascii="Times New Roman" w:hAnsi="Times New Roman"/>
          <w:b w:val="false"/>
          <w:i w:val="false"/>
          <w:color w:val="000000"/>
          <w:sz w:val="22"/>
        </w:rPr>
        <w:t xml:space="preserve">means grading, landscaping, paving, seeding, and planting of shrubs and trees; constructing sidewalks, roadways, retaining walls, sewers and storm drains, and installing hydrants; surfacing and soil treatment of athletic fields and tennis courts; exterior lighting, including athletic fields and tennis courts; furnishing and installing flagpoles, gateways, fences, and underground storage tanks that are not parts of building service systems; demolition work; and special assessments against the school district for public improvements defined in Iowa Code section </w:t>
      </w:r>
      <w:hyperlink r:id="rId14">
        <w:r>
          <w:rPr>
            <w:rStyle w:val="Hyperlink"/>
            <w:rFonts w:ascii="Times New Roman" w:hAnsi="Times New Roman"/>
            <w:b w:val="false"/>
            <w:i w:val="false"/>
            <w:color w:val="000000"/>
            <w:sz w:val="22"/>
          </w:rPr>
          <w:t>384.37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“Statewide tax revenues per student” </w:t>
      </w:r>
      <w:r>
        <w:rPr>
          <w:rFonts w:ascii="Times New Roman" w:hAnsi="Times New Roman"/>
          <w:b w:val="false"/>
          <w:i w:val="false"/>
          <w:color w:val="000000"/>
          <w:sz w:val="22"/>
        </w:rPr>
        <w:t xml:space="preserve">means the amount per student established by Iowa Code section </w:t>
      </w:r>
      <w:hyperlink r:id="rId15">
        <w:r>
          <w:rPr>
            <w:rStyle w:val="Hyperlink"/>
            <w:rFonts w:ascii="Times New Roman" w:hAnsi="Times New Roman"/>
            <w:b w:val="false"/>
            <w:i w:val="false"/>
            <w:color w:val="000000"/>
            <w:sz w:val="22"/>
          </w:rPr>
          <w:t>423E.4(2)</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281—96.2</w:t>
      </w:r>
      <w:r>
        <w:rPr>
          <w:rFonts w:ascii="Times New Roman" w:hAnsi="Times New Roman"/>
          <w:b/>
          <w:i w:val="false"/>
          <w:color w:val="000000"/>
          <w:sz w:val="22"/>
        </w:rPr>
        <w:t xml:space="preserve">(423E,423F) </w:t>
      </w:r>
      <w:r>
        <w:rPr>
          <w:rFonts w:ascii="Times New Roman" w:hAnsi="Times New Roman"/>
          <w:b/>
          <w:i w:val="false"/>
          <w:color w:val="000000"/>
          <w:sz w:val="22"/>
        </w:rPr>
        <w:t xml:space="preserve">Reports to the department. </w:t>
      </w:r>
      <w:r>
        <w:rPr>
          <w:rFonts w:ascii="Times New Roman" w:hAnsi="Times New Roman"/>
          <w:b w:val="false"/>
          <w:i w:val="false"/>
          <w:color w:val="000000"/>
          <w:sz w:val="22"/>
        </w:rPr>
        <w:t>Each school district shall, by October 15, annually report the school district’s actual enrollment on October 1 by the student’s county of residency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96.2(1)</w:t>
      </w:r>
      <w:r>
        <w:rPr>
          <w:rFonts w:ascii="Times New Roman" w:hAnsi="Times New Roman"/>
          <w:b w:val="false"/>
          <w:i w:val="false"/>
          <w:color w:val="000000"/>
          <w:sz w:val="22"/>
        </w:rPr>
        <w:t> </w:t>
      </w:r>
      <w:r>
        <w:rPr>
          <w:rFonts w:ascii="Times New Roman" w:hAnsi="Times New Roman"/>
          <w:b w:val="false"/>
          <w:i/>
          <w:color w:val="000000"/>
          <w:sz w:val="22"/>
        </w:rPr>
        <w:t xml:space="preserve">County of residency. </w:t>
      </w:r>
      <w:r>
        <w:rPr>
          <w:rFonts w:ascii="Times New Roman" w:hAnsi="Times New Roman"/>
          <w:b w:val="false"/>
          <w:i w:val="false"/>
          <w:color w:val="000000"/>
          <w:sz w:val="22"/>
        </w:rPr>
        <w:t xml:space="preserve">The county of residency for each of the students is the county in which the student lives in accordance with Iowa Code section </w:t>
      </w:r>
      <w:hyperlink r:id="rId16">
        <w:r>
          <w:rPr>
            <w:rStyle w:val="Hyperlink"/>
            <w:rFonts w:ascii="Times New Roman" w:hAnsi="Times New Roman"/>
            <w:b w:val="false"/>
            <w:i w:val="false"/>
            <w:color w:val="000000"/>
            <w:sz w:val="22"/>
          </w:rPr>
          <w:t>282.1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w:t>
      </w:r>
      <w:r>
        <w:rPr>
          <w:rFonts w:ascii="Times New Roman" w:hAnsi="Times New Roman"/>
          <w:b w:val="false"/>
          <w:i w:val="false"/>
          <w:color w:val="000000"/>
          <w:sz w:val="22"/>
        </w:rPr>
        <w:t> </w:t>
      </w:r>
      <w:r>
        <w:rPr>
          <w:rFonts w:ascii="Times New Roman" w:hAnsi="Times New Roman"/>
          <w:b w:val="false"/>
          <w:i/>
          <w:color w:val="000000"/>
          <w:sz w:val="22"/>
        </w:rPr>
        <w:t xml:space="preserve">Emancipated minor. </w:t>
      </w:r>
      <w:r>
        <w:rPr>
          <w:rFonts w:ascii="Times New Roman" w:hAnsi="Times New Roman"/>
          <w:b w:val="false"/>
          <w:i w:val="false"/>
          <w:color w:val="000000"/>
          <w:sz w:val="22"/>
        </w:rPr>
        <w:t>The county of residency for an emancipated minor attending the school district is the county in which the emancipated minor is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96.2(3)</w:t>
      </w:r>
      <w:r>
        <w:rPr>
          <w:rFonts w:ascii="Times New Roman" w:hAnsi="Times New Roman"/>
          <w:b w:val="false"/>
          <w:i w:val="false"/>
          <w:color w:val="000000"/>
          <w:sz w:val="22"/>
        </w:rPr>
        <w:t> </w:t>
      </w:r>
      <w:r>
        <w:rPr>
          <w:rFonts w:ascii="Times New Roman" w:hAnsi="Times New Roman"/>
          <w:b w:val="false"/>
          <w:i/>
          <w:color w:val="000000"/>
          <w:sz w:val="22"/>
        </w:rPr>
        <w:t xml:space="preserve">County of residency unknown. </w:t>
      </w:r>
      <w:r>
        <w:rPr>
          <w:rFonts w:ascii="Times New Roman" w:hAnsi="Times New Roman"/>
          <w:b w:val="false"/>
          <w:i w:val="false"/>
          <w:color w:val="000000"/>
          <w:sz w:val="22"/>
        </w:rPr>
        <w:t>If a school district cannot determine an enrolled student’s county of residency or if the county of residency is not a county in which the school district is located, the county of residency is the county in which the school district certifies its budget.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281—96.3</w:t>
      </w:r>
      <w:r>
        <w:rPr>
          <w:rFonts w:ascii="Times New Roman" w:hAnsi="Times New Roman"/>
          <w:b/>
          <w:i w:val="false"/>
          <w:color w:val="000000"/>
          <w:sz w:val="22"/>
        </w:rPr>
        <w:t xml:space="preserve">(423E,423F) </w:t>
      </w:r>
      <w:r>
        <w:rPr>
          <w:rFonts w:ascii="Times New Roman" w:hAnsi="Times New Roman"/>
          <w:b/>
          <w:i w:val="false"/>
          <w:color w:val="000000"/>
          <w:sz w:val="22"/>
        </w:rPr>
        <w:t xml:space="preserve">Combined actual enrollment. </w:t>
      </w:r>
      <w:r>
        <w:rPr>
          <w:rFonts w:ascii="Times New Roman" w:hAnsi="Times New Roman"/>
          <w:b w:val="false"/>
          <w:i w:val="false"/>
          <w:color w:val="000000"/>
          <w:sz w:val="22"/>
        </w:rPr>
        <w:t>By March 1, annually, the department will forward to the department of management the actual enrollment and the actual enrollment by the student’s county of residency for each school district located in whole or in part in a county where a sales tax has been imposed and the combined actual enrollment for that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281—96.4</w:t>
      </w:r>
      <w:r>
        <w:rPr>
          <w:rFonts w:ascii="Times New Roman" w:hAnsi="Times New Roman"/>
          <w:b/>
          <w:i w:val="false"/>
          <w:color w:val="000000"/>
          <w:sz w:val="22"/>
        </w:rPr>
        <w:t xml:space="preserve">(423E,423F) </w:t>
      </w:r>
      <w:r>
        <w:rPr>
          <w:rFonts w:ascii="Times New Roman" w:hAnsi="Times New Roman"/>
          <w:b/>
          <w:i w:val="false"/>
          <w:color w:val="000000"/>
          <w:sz w:val="22"/>
        </w:rPr>
        <w:t xml:space="preserve">Application and certificate of need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96.4(1)</w:t>
      </w:r>
      <w:r>
        <w:rPr>
          <w:rFonts w:ascii="Times New Roman" w:hAnsi="Times New Roman"/>
          <w:b w:val="false"/>
          <w:i w:val="false"/>
          <w:color w:val="000000"/>
          <w:sz w:val="22"/>
        </w:rPr>
        <w:t> </w:t>
      </w:r>
      <w:r>
        <w:rPr>
          <w:rFonts w:ascii="Times New Roman" w:hAnsi="Times New Roman"/>
          <w:b w:val="false"/>
          <w:i/>
          <w:color w:val="000000"/>
          <w:sz w:val="22"/>
        </w:rPr>
        <w:t xml:space="preserve">When application is needed; application period. </w:t>
      </w:r>
      <w:r>
        <w:rPr>
          <w:rFonts w:ascii="Times New Roman" w:hAnsi="Times New Roman"/>
          <w:b w:val="false"/>
          <w:i w:val="false"/>
          <w:color w:val="000000"/>
          <w:sz w:val="22"/>
        </w:rPr>
        <w:t xml:space="preserve">A school district that does not exceed enrollment thresholds defined in Iowa Code section 423F.3(5) shall not expend the amount of statewide sales and services tax received for new construction without prior application to the department and receipt of a certificate of need. A certificate of need is not necessary for repair of school facilities; for purchase of equipment, technology, or transportation equipment for transporting students as provided in Iowa Code section </w:t>
      </w:r>
      <w:hyperlink r:id="rId17">
        <w:r>
          <w:rPr>
            <w:rStyle w:val="Hyperlink"/>
            <w:rFonts w:ascii="Times New Roman" w:hAnsi="Times New Roman"/>
            <w:b w:val="false"/>
            <w:i w:val="false"/>
            <w:color w:val="000000"/>
            <w:sz w:val="22"/>
          </w:rPr>
          <w:t>298.3</w:t>
        </w:r>
      </w:hyperlink>
      <w:r>
        <w:rPr>
          <w:rFonts w:ascii="Times New Roman" w:hAnsi="Times New Roman"/>
          <w:b w:val="false"/>
          <w:i w:val="false"/>
          <w:color w:val="000000"/>
          <w:sz w:val="22"/>
        </w:rPr>
        <w:t xml:space="preserve">; school safety and security infrastructure as provided in Iowa Code section </w:t>
      </w:r>
      <w:hyperlink r:id="rId18">
        <w:r>
          <w:rPr>
            <w:rStyle w:val="Hyperlink"/>
            <w:rFonts w:ascii="Times New Roman" w:hAnsi="Times New Roman"/>
            <w:b w:val="false"/>
            <w:i w:val="false"/>
            <w:color w:val="000000"/>
            <w:sz w:val="22"/>
          </w:rPr>
          <w:t>423F.3(6)</w:t>
        </w:r>
      </w:hyperlink>
      <w:r>
        <w:rPr>
          <w:rFonts w:ascii="Times New Roman" w:hAnsi="Times New Roman"/>
          <w:b w:val="false"/>
          <w:i w:val="false"/>
          <w:color w:val="000000"/>
          <w:sz w:val="22"/>
        </w:rPr>
        <w:t xml:space="preserve"> other than new construction; or for construction necessary to comply with the federal Americans With Disabilities Act, 42 U.S.C. Sections 12101 to 12117, effective February 7, 2024. Applications are due no later than eight weeks prior to a regularly scheduled meeting of the SBRC. The SBRC holds regularly scheduled meetings as stipulated in rule </w:t>
      </w:r>
      <w:hyperlink r:id="rId19">
        <w:r>
          <w:rPr>
            <w:rStyle w:val="Hyperlink"/>
            <w:rFonts w:ascii="Times New Roman" w:hAnsi="Times New Roman"/>
            <w:b w:val="false"/>
            <w:i w:val="false"/>
            <w:color w:val="000000"/>
            <w:sz w:val="22"/>
          </w:rPr>
          <w:t>289—1.4</w:t>
        </w:r>
      </w:hyperlink>
      <w:r>
        <w:rPr>
          <w:rFonts w:ascii="Times New Roman" w:hAnsi="Times New Roman"/>
          <w:b w:val="false"/>
          <w:i w:val="false"/>
          <w:color w:val="000000"/>
          <w:sz w:val="22"/>
        </w:rPr>
        <w:t>(257).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Each applicant school district is to use the form prepared by the department for this purpose and in the manner prescribed by the department. The application form includes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total capital investment of the project. If the project is in collaboration with other public or private entities, a school district is to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collaborating public or private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Total cost of the collaborative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Total cost of the school district’s portion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infrastructure needs of a school district specific to the application, especially the fire and health safety needs, including the extent to which the project would allow the school district to meet its infrastructure needs on a long-term basis. If a school district’s needs include fire and health safety needs, the school district is to attach to its application form a copy of the citation from the fire marshal for the safety deficiency or evidence of consultation with the fire marshal or other qualified inspector related to the health safety deficiency. A school district is to include evidence of public involvement in assessing the need for this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description of need including a cost-benefit analysis of remodeling, reconstructing, or repairing the existing structure rather than implementing this project and a description of any alternatives considered and the reasons for rejection.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Enrollment trends by grade in a school district showing a five-year history and five years of projected enrollment by grade. The school district is to identify the grades that will be served at the new construction site. If a school district uses enrollment projections other than those prepared by the department, the school district is to submit a description of the basis for those projections. The school district is to demonstrate that there is sufficient economic activity and stability to support and sustain enrollment projections of the affected attendance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school district’s enrollment in the current year or any of the five years of projected enrollments is fewer than 250 students, the school district is to attach a copy of a feasibility study pursuant to Iowa Code section </w:t>
      </w:r>
      <w:hyperlink r:id="rId20">
        <w:r>
          <w:rPr>
            <w:rStyle w:val="Hyperlink"/>
            <w:rFonts w:ascii="Times New Roman" w:hAnsi="Times New Roman"/>
            <w:b w:val="false"/>
            <w:i w:val="false"/>
            <w:color w:val="000000"/>
            <w:sz w:val="22"/>
          </w:rPr>
          <w:t>256.9(30)</w:t>
        </w:r>
      </w:hyperlink>
      <w:r>
        <w:rPr>
          <w:rFonts w:ascii="Times New Roman" w:hAnsi="Times New Roman"/>
          <w:b w:val="false"/>
          <w:i w:val="false"/>
          <w:color w:val="000000"/>
          <w:sz w:val="22"/>
        </w:rPr>
        <w:t xml:space="preserve"> or similar study conducted within the past three years with an explanation of how the study supports the project that is the subject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benefits and effects of the project and its relationship to improving student learning including alignment with school district student achievement goals and including the school district’s ability to meet or exceed the educational standards. A school district is to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list of waivers applied for and granted to the school district or any deficiencies from educational standards if no waiver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courses offered by major curricular area in grades 9 through 12, including five years of history and three years of projected curricula if the proposed new construction will house any of the grades 9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list of current and projected staffing patterns including assignments and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Description of transportation barriers, if any, to the current site and to the proposed site and the distance in miles and in travel time from the nearest and furthest boundaries of the school district to the current site and the proposed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Evidence of a healthy financial condition and long-term financial stability. The school district is to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unspent balance on the generally accepted accounting principles (GAAP) basis, including five years of history and three years of projected balances. The calculation of budget authority is to show and project the effect of the budget adjustment under Iowa Code section </w:t>
      </w:r>
      <w:hyperlink r:id="rId21">
        <w:r>
          <w:rPr>
            <w:rStyle w:val="Hyperlink"/>
            <w:rFonts w:ascii="Times New Roman" w:hAnsi="Times New Roman"/>
            <w:b w:val="false"/>
            <w:i w:val="false"/>
            <w:color w:val="000000"/>
            <w:sz w:val="22"/>
          </w:rPr>
          <w:t>257.14</w:t>
        </w:r>
      </w:hyperlink>
      <w:r>
        <w:rPr>
          <w:rFonts w:ascii="Times New Roman" w:hAnsi="Times New Roman"/>
          <w:b w:val="false"/>
          <w:i w:val="false"/>
          <w:color w:val="000000"/>
          <w:sz w:val="22"/>
        </w:rPr>
        <w:t>. Projected allowable growth is that which is known or generally anticipated at the time of the application. If the percent of allowable growth is not known or anticipated, a district may use an annual projected allowable growth of up to 2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unspent balance is negative in any current or projected year on the GAAP basis, the school district shall include a copy of the corrective action plan, if any, submitted to the SBRC.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Calculation of fund balance on the GAAP basis by fund. The calculation shall include five years of history and three years of projected balances.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 school district currently has bonded indebtedness, the voter-approved physical plant and equipment levy, or categorical funding for school infrastructure, the school district is to include a statement identifying the implementation date, final year of the bonded indebtedness or the final year of the levy or categorical funding, and the levy rate. The school district is to list any obligations against those current balances and future revenues or against the statewide sales and services tax for school infrastructure amounts. The school district is to attach a copy of the school district’s revenue purpose statement,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comprehensive, districtwide infrastructure plan. The school district is to include the date that the plan was adopted by the board, an executive summary of the plan, and a description of how the project fits within the infrastructure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five-year history of significant infrastructure maintenance and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statement certifying the accuracy of the information contained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96.4(3)</w:t>
      </w:r>
      <w:r>
        <w:rPr>
          <w:rFonts w:ascii="Times New Roman" w:hAnsi="Times New Roman"/>
          <w:b w:val="false"/>
          <w:i w:val="false"/>
          <w:color w:val="000000"/>
          <w:sz w:val="22"/>
        </w:rPr>
        <w:t> </w:t>
      </w:r>
      <w:r>
        <w:rPr>
          <w:rFonts w:ascii="Times New Roman" w:hAnsi="Times New Roman"/>
          <w:b w:val="false"/>
          <w:i/>
          <w:color w:val="000000"/>
          <w:sz w:val="22"/>
        </w:rPr>
        <w:t xml:space="preserve">Board minutes. </w:t>
      </w:r>
      <w:r>
        <w:rPr>
          <w:rFonts w:ascii="Times New Roman" w:hAnsi="Times New Roman"/>
          <w:b w:val="false"/>
          <w:i w:val="false"/>
          <w:color w:val="000000"/>
          <w:sz w:val="22"/>
        </w:rPr>
        <w:t>A school district that is applying for a certificate of need is to submit with its application a copy of the published minutes of the board of director’s meeting showing that the board has authorized the application and the project and that the public has been informed, with the section of the board minutes containing this information marked in such a way as to make it easily identifiable.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96.4(4)</w:t>
      </w:r>
      <w:r>
        <w:rPr>
          <w:rFonts w:ascii="Times New Roman" w:hAnsi="Times New Roman"/>
          <w:b w:val="false"/>
          <w:i w:val="false"/>
          <w:color w:val="000000"/>
          <w:sz w:val="22"/>
        </w:rPr>
        <w:t> </w:t>
      </w:r>
      <w:r>
        <w:rPr>
          <w:rFonts w:ascii="Times New Roman" w:hAnsi="Times New Roman"/>
          <w:b w:val="false"/>
          <w:i/>
          <w:color w:val="000000"/>
          <w:sz w:val="22"/>
        </w:rPr>
        <w:t xml:space="preserve">Reapplication. </w:t>
      </w:r>
      <w:r>
        <w:rPr>
          <w:rFonts w:ascii="Times New Roman" w:hAnsi="Times New Roman"/>
          <w:b w:val="false"/>
          <w:i w:val="false"/>
          <w:color w:val="000000"/>
          <w:sz w:val="22"/>
        </w:rPr>
        <w:t>A school district that is not successful in obtaining a certificate of need for the project that is the subject of the application may apply for a certificate of need in succeeding application periods if its circumstances change substantially.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96.4(5)</w:t>
      </w:r>
      <w:r>
        <w:rPr>
          <w:rFonts w:ascii="Times New Roman" w:hAnsi="Times New Roman"/>
          <w:b w:val="false"/>
          <w:i w:val="false"/>
          <w:color w:val="000000"/>
          <w:sz w:val="22"/>
        </w:rPr>
        <w:t> </w:t>
      </w:r>
      <w:r>
        <w:rPr>
          <w:rFonts w:ascii="Times New Roman" w:hAnsi="Times New Roman"/>
          <w:b w:val="false"/>
          <w:i/>
          <w:color w:val="000000"/>
          <w:sz w:val="22"/>
        </w:rPr>
        <w:t xml:space="preserve">Application timeline. </w:t>
      </w:r>
      <w:r>
        <w:rPr>
          <w:rFonts w:ascii="Times New Roman" w:hAnsi="Times New Roman"/>
          <w:b w:val="false"/>
          <w:i w:val="false"/>
          <w:color w:val="000000"/>
          <w:sz w:val="22"/>
        </w:rPr>
        <w:t>A school district is to apply for a certificate of need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school district has received amounts that it intends to accumulate for new construction or for payment of debt related to new construction;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school district board has accumulated amounts and wants to proceed with the new construction project or debt issuance related to new construction,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96.4(6)</w:t>
      </w:r>
      <w:r>
        <w:rPr>
          <w:rFonts w:ascii="Times New Roman" w:hAnsi="Times New Roman"/>
          <w:b w:val="false"/>
          <w:i w:val="false"/>
          <w:color w:val="000000"/>
          <w:sz w:val="22"/>
        </w:rPr>
        <w:t> </w:t>
      </w:r>
      <w:r>
        <w:rPr>
          <w:rFonts w:ascii="Times New Roman" w:hAnsi="Times New Roman"/>
          <w:b w:val="false"/>
          <w:i/>
          <w:color w:val="000000"/>
          <w:sz w:val="22"/>
        </w:rPr>
        <w:t xml:space="preserve">Compliance requirement on uses. </w:t>
      </w:r>
      <w:r>
        <w:rPr>
          <w:rFonts w:ascii="Times New Roman" w:hAnsi="Times New Roman"/>
          <w:b w:val="false"/>
          <w:i w:val="false"/>
          <w:color w:val="000000"/>
          <w:sz w:val="22"/>
        </w:rPr>
        <w:t xml:space="preserve">All projects included in the application must be consistent with the provisions of the Americans With Disabilities Act and the Rehabilitation Act of 1973, Section 504, as both are codified on February 7, 2024, and Iowa Code chapter </w:t>
      </w:r>
      <w:hyperlink r:id="rId22">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281—96.5</w:t>
      </w:r>
      <w:r>
        <w:rPr>
          <w:rFonts w:ascii="Times New Roman" w:hAnsi="Times New Roman"/>
          <w:b/>
          <w:i w:val="false"/>
          <w:color w:val="000000"/>
          <w:sz w:val="22"/>
        </w:rPr>
        <w:t xml:space="preserve">(423E,423F) </w:t>
      </w:r>
      <w:r>
        <w:rPr>
          <w:rFonts w:ascii="Times New Roman" w:hAnsi="Times New Roman"/>
          <w:b/>
          <w:i w:val="false"/>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96.5(1)</w:t>
      </w:r>
      <w:r>
        <w:rPr>
          <w:rFonts w:ascii="Times New Roman" w:hAnsi="Times New Roman"/>
          <w:b w:val="false"/>
          <w:i w:val="false"/>
          <w:color w:val="000000"/>
          <w:sz w:val="22"/>
        </w:rPr>
        <w:t> </w:t>
      </w:r>
      <w:r>
        <w:rPr>
          <w:rFonts w:ascii="Times New Roman" w:hAnsi="Times New Roman"/>
          <w:b w:val="false"/>
          <w:i/>
          <w:color w:val="000000"/>
          <w:sz w:val="22"/>
        </w:rPr>
        <w:t xml:space="preserve">Task force. </w:t>
      </w:r>
      <w:r>
        <w:rPr>
          <w:rFonts w:ascii="Times New Roman" w:hAnsi="Times New Roman"/>
          <w:b w:val="false"/>
          <w:i w:val="false"/>
          <w:color w:val="000000"/>
          <w:sz w:val="22"/>
        </w:rPr>
        <w:t xml:space="preserve">The department will form a task force to review applications for certificate of need and to provide recommendations to the SBRC. The department will invite participants from large, medium, and small school districts, the state fire marshal’s office, education and professional organizations, or other individuals knowledgeable in school infrastructure and construction issues. The department, in consultation with the task force, will establish the parameters and criteria for awarding certificates of need based on information listed in Iowa Code section </w:t>
      </w:r>
      <w:hyperlink r:id="rId23">
        <w:r>
          <w:rPr>
            <w:rStyle w:val="Hyperlink"/>
            <w:rFonts w:ascii="Times New Roman" w:hAnsi="Times New Roman"/>
            <w:b w:val="false"/>
            <w:i w:val="false"/>
            <w:color w:val="000000"/>
            <w:sz w:val="22"/>
          </w:rPr>
          <w:t>423E.4(5)</w:t>
        </w:r>
      </w:hyperlink>
      <w:r>
        <w:rPr>
          <w:rFonts w:ascii="Times New Roman" w:hAnsi="Times New Roman"/>
          <w:b w:val="false"/>
          <w:i w:val="false"/>
          <w:color w:val="000000"/>
          <w:sz w:val="22"/>
        </w:rPr>
        <w:t>, which includes consideration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Enrollment trends in the grades that will be served at the new construction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cost-benefit analysis of remodeling, reconstructing, or repairing existing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fire and health safety needs of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distance, convenience, cost of transportation, and accessibility of the new construction site to the students to be served at the new construction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Unavailability of alternative, less costly, or more effective means of serving the needs of the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financial condition of the school district, including the effect of the budget adjustment and unspent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Broad and long-term ability of the school district to support the facility and the quality of the academic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Cooperation with other educational entities including other school districts, area education agencies, postsecondary institutions, and local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96.5(2)</w:t>
      </w:r>
      <w:r>
        <w:rPr>
          <w:rFonts w:ascii="Times New Roman" w:hAnsi="Times New Roman"/>
          <w:b w:val="false"/>
          <w:i w:val="false"/>
          <w:color w:val="000000"/>
          <w:sz w:val="22"/>
        </w:rPr>
        <w:t> </w:t>
      </w:r>
      <w:r>
        <w:rPr>
          <w:rFonts w:ascii="Times New Roman" w:hAnsi="Times New Roman"/>
          <w:b w:val="false"/>
          <w:i/>
          <w:color w:val="000000"/>
          <w:sz w:val="22"/>
        </w:rPr>
        <w:t xml:space="preserve">Task force review. </w:t>
      </w:r>
      <w:r>
        <w:rPr>
          <w:rFonts w:ascii="Times New Roman" w:hAnsi="Times New Roman"/>
          <w:b w:val="false"/>
          <w:i w:val="false"/>
          <w:color w:val="000000"/>
          <w:sz w:val="22"/>
        </w:rPr>
        <w:t xml:space="preserve">The task force, or a subcommittee of the task force, and its designees, will review each application and make recommendations to the school budget review committee regarding approval of certificates of need based on the evidence provided by the applicant pursuant to subrule </w:t>
      </w:r>
      <w:hyperlink r:id="rId24">
        <w:r>
          <w:rPr>
            <w:rStyle w:val="Hyperlink"/>
            <w:rFonts w:ascii="Times New Roman" w:hAnsi="Times New Roman"/>
            <w:b w:val="false"/>
            <w:i w:val="false"/>
            <w:color w:val="000000"/>
            <w:sz w:val="22"/>
          </w:rPr>
          <w:t>96.4(2)</w:t>
        </w:r>
      </w:hyperlink>
      <w:r>
        <w:rPr>
          <w:rFonts w:ascii="Times New Roman" w:hAnsi="Times New Roman"/>
          <w:b w:val="false"/>
          <w:i w:val="false"/>
          <w:color w:val="000000"/>
          <w:sz w:val="22"/>
        </w:rPr>
        <w:t xml:space="preserve"> and the criteria listed in subrule </w:t>
      </w:r>
      <w:hyperlink r:id="rId25">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More than one member of the task force or subcommittee of the task force and its designees shall review each application. A reviewer will not review any application in which the reviewer has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w:t>
      </w:r>
      <w:r>
        <w:rPr>
          <w:rFonts w:ascii="Times New Roman" w:hAnsi="Times New Roman"/>
          <w:b w:val="false"/>
          <w:i w:val="false"/>
          <w:color w:val="000000"/>
          <w:sz w:val="22"/>
        </w:rPr>
        <w:t>Applications will be reviewed and recommended for approval or denial based on any or all of the following individual or collective criteria, with each applicable criterion scored on a scale of zero to ten. Applicable scores will be averaged. Nonapplicable criteria will not be used in determining the average score. An application shall have a minimum average score of five to be eligible to be recommended for approval. If an application receives a score of zero on one or more applicable criteria, the application will not be recommended for approval. A recommendation for approval by the task force does not constitute final approval of the application. The following categories on the application will be evaluated and scored: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Infrastructure needs the project proposes to alleviate. Special consideration shall be given to infrastructure needs that relate to fire or health safety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that remodeling, reconstructing, or repairing the existing buildings is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Unavailability of alternative, less costly, or more effective means of serving student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Improvement of transportation distance, convenience, cost and accessibility with the 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Sustainable financial condition and long-term financial stability of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that the proposed project will improve educational opportunities for students and enable the school district to meet or exceed educational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Current comprehensive, districtwide infrastructure plan and the description of how this project fits within that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Description of collaboration with one or more other public or private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96.5(4)</w:t>
      </w:r>
      <w:r>
        <w:rPr>
          <w:rFonts w:ascii="Times New Roman" w:hAnsi="Times New Roman"/>
          <w:b w:val="false"/>
          <w:i w:val="false"/>
          <w:color w:val="000000"/>
          <w:sz w:val="22"/>
        </w:rPr>
        <w:t> </w:t>
      </w:r>
      <w:r>
        <w:rPr>
          <w:rFonts w:ascii="Times New Roman" w:hAnsi="Times New Roman"/>
          <w:b w:val="false"/>
          <w:i/>
          <w:color w:val="000000"/>
          <w:sz w:val="22"/>
        </w:rPr>
        <w:t xml:space="preserve">Ineligibility for approval. </w:t>
      </w:r>
      <w:r>
        <w:rPr>
          <w:rFonts w:ascii="Times New Roman" w:hAnsi="Times New Roman"/>
          <w:b w:val="false"/>
          <w:i w:val="false"/>
          <w:color w:val="000000"/>
          <w:sz w:val="22"/>
        </w:rPr>
        <w:t xml:space="preserve">If either of the following two descriptions applies to the school district, the school district is not eligible for a certificate of need unless a feasibility study conducted within the past three years pursuant to Iowa Code section </w:t>
      </w:r>
      <w:hyperlink r:id="rId26">
        <w:r>
          <w:rPr>
            <w:rStyle w:val="Hyperlink"/>
            <w:rFonts w:ascii="Times New Roman" w:hAnsi="Times New Roman"/>
            <w:b w:val="false"/>
            <w:i w:val="false"/>
            <w:color w:val="000000"/>
            <w:sz w:val="22"/>
          </w:rPr>
          <w:t>256.9(30)</w:t>
        </w:r>
      </w:hyperlink>
      <w:r>
        <w:rPr>
          <w:rFonts w:ascii="Times New Roman" w:hAnsi="Times New Roman"/>
          <w:b w:val="false"/>
          <w:i w:val="false"/>
          <w:color w:val="000000"/>
          <w:sz w:val="22"/>
        </w:rPr>
        <w:t xml:space="preserve"> and the AEA plan pursuant to Iowa Code sections </w:t>
      </w:r>
      <w:hyperlink r:id="rId27">
        <w:r>
          <w:rPr>
            <w:rStyle w:val="Hyperlink"/>
            <w:rFonts w:ascii="Times New Roman" w:hAnsi="Times New Roman"/>
            <w:b w:val="false"/>
            <w:i w:val="false"/>
            <w:color w:val="000000"/>
            <w:sz w:val="22"/>
          </w:rPr>
          <w:t>275.1 through 275.4</w:t>
        </w:r>
      </w:hyperlink>
      <w:r>
        <w:rPr>
          <w:rFonts w:ascii="Times New Roman" w:hAnsi="Times New Roman"/>
          <w:b w:val="false"/>
          <w:i w:val="false"/>
          <w:color w:val="000000"/>
          <w:sz w:val="22"/>
        </w:rPr>
        <w:t xml:space="preserve"> determine that sharing, reorganization, or dissolution is not feasible for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current enrollment or any of the five years of projected enrollments for the school district is fewer than 250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current enrollment or any of the five years of projected enrollments for the school district for grades 9 through 12 is fewer than a total of 100 students, if a high school building is the subject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96.5(5)</w:t>
      </w:r>
      <w:r>
        <w:rPr>
          <w:rFonts w:ascii="Times New Roman" w:hAnsi="Times New Roman"/>
          <w:b w:val="false"/>
          <w:i w:val="false"/>
          <w:color w:val="000000"/>
          <w:sz w:val="22"/>
        </w:rPr>
        <w:t> </w:t>
      </w:r>
      <w:r>
        <w:rPr>
          <w:rFonts w:ascii="Times New Roman" w:hAnsi="Times New Roman"/>
          <w:b w:val="false"/>
          <w:i/>
          <w:color w:val="000000"/>
          <w:sz w:val="22"/>
        </w:rPr>
        <w:t xml:space="preserve">School budget review committee. </w:t>
      </w:r>
      <w:r>
        <w:rPr>
          <w:rFonts w:ascii="Times New Roman" w:hAnsi="Times New Roman"/>
          <w:b w:val="false"/>
          <w:i w:val="false"/>
          <w:color w:val="000000"/>
          <w:sz w:val="22"/>
        </w:rPr>
        <w:t>The SBRC will review the recommendations from the task force for approval of certificates of need and make recommendations on approval to the department for final consideration.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281—96.6</w:t>
      </w:r>
      <w:r>
        <w:rPr>
          <w:rFonts w:ascii="Times New Roman" w:hAnsi="Times New Roman"/>
          <w:b/>
          <w:i w:val="false"/>
          <w:color w:val="000000"/>
          <w:sz w:val="22"/>
        </w:rPr>
        <w:t xml:space="preserve">(423E,423F) </w:t>
      </w:r>
      <w:r>
        <w:rPr>
          <w:rFonts w:ascii="Times New Roman" w:hAnsi="Times New Roman"/>
          <w:b/>
          <w:i w:val="false"/>
          <w:color w:val="000000"/>
          <w:sz w:val="22"/>
        </w:rPr>
        <w:t xml:space="preserve">Award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96.6(1)</w:t>
      </w:r>
      <w:r>
        <w:rPr>
          <w:rFonts w:ascii="Times New Roman" w:hAnsi="Times New Roman"/>
          <w:b w:val="false"/>
          <w:i w:val="false"/>
          <w:color w:val="000000"/>
          <w:sz w:val="22"/>
        </w:rPr>
        <w:t> </w:t>
      </w:r>
      <w:r>
        <w:rPr>
          <w:rFonts w:ascii="Times New Roman" w:hAnsi="Times New Roman"/>
          <w:b w:val="false"/>
          <w:i/>
          <w:color w:val="000000"/>
          <w:sz w:val="22"/>
        </w:rPr>
        <w:t xml:space="preserve">Department determination. </w:t>
      </w:r>
      <w:r>
        <w:rPr>
          <w:rFonts w:ascii="Times New Roman" w:hAnsi="Times New Roman"/>
          <w:b w:val="false"/>
          <w:i w:val="false"/>
          <w:color w:val="000000"/>
          <w:sz w:val="22"/>
        </w:rPr>
        <w:t>The department will make the final determination on approval of certificates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department will notify applicants no later than two weeks following the date of receipt of the recommendations from the SBRC.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281—96.7</w:t>
      </w:r>
      <w:r>
        <w:rPr>
          <w:rFonts w:ascii="Times New Roman" w:hAnsi="Times New Roman"/>
          <w:b/>
          <w:i w:val="false"/>
          <w:color w:val="000000"/>
          <w:sz w:val="22"/>
        </w:rPr>
        <w:t xml:space="preserve">(423E,423F) </w:t>
      </w:r>
      <w:r>
        <w:rPr>
          <w:rFonts w:ascii="Times New Roman" w:hAnsi="Times New Roman"/>
          <w:b/>
          <w:i w:val="false"/>
          <w:color w:val="000000"/>
          <w:sz w:val="22"/>
        </w:rPr>
        <w:t xml:space="preserve">Applicant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96.7(1)</w:t>
      </w:r>
      <w:r>
        <w:rPr>
          <w:rFonts w:ascii="Times New Roman" w:hAnsi="Times New Roman"/>
          <w:b w:val="false"/>
          <w:i w:val="false"/>
          <w:color w:val="000000"/>
          <w:sz w:val="22"/>
        </w:rPr>
        <w:t> </w:t>
      </w:r>
      <w:r>
        <w:rPr>
          <w:rFonts w:ascii="Times New Roman" w:hAnsi="Times New Roman"/>
          <w:b w:val="false"/>
          <w:i/>
          <w:color w:val="000000"/>
          <w:sz w:val="22"/>
        </w:rPr>
        <w:t xml:space="preserve">Change in the project. </w:t>
      </w:r>
      <w:r>
        <w:rPr>
          <w:rFonts w:ascii="Times New Roman" w:hAnsi="Times New Roman"/>
          <w:b w:val="false"/>
          <w:i w:val="false"/>
          <w:color w:val="000000"/>
          <w:sz w:val="22"/>
        </w:rPr>
        <w:t>If a school district significantly changes the proposed project, the school district shall notify the department within ten working days of the change and submit a new application for a certificate of need for the newly changed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96.7(2)</w:t>
      </w:r>
      <w:r>
        <w:rPr>
          <w:rFonts w:ascii="Times New Roman" w:hAnsi="Times New Roman"/>
          <w:b w:val="false"/>
          <w:i w:val="false"/>
          <w:color w:val="000000"/>
          <w:sz w:val="22"/>
        </w:rPr>
        <w:t> </w:t>
      </w:r>
      <w:r>
        <w:rPr>
          <w:rFonts w:ascii="Times New Roman" w:hAnsi="Times New Roman"/>
          <w:b w:val="false"/>
          <w:i/>
          <w:color w:val="000000"/>
          <w:sz w:val="22"/>
        </w:rPr>
        <w:t xml:space="preserve">Accounting for the funding. </w:t>
      </w:r>
      <w:r>
        <w:rPr>
          <w:rFonts w:ascii="Times New Roman" w:hAnsi="Times New Roman"/>
          <w:b w:val="false"/>
          <w:i w:val="false"/>
          <w:color w:val="000000"/>
          <w:sz w:val="22"/>
        </w:rPr>
        <w:t>All revenues and all expenditures from the statewide school infrastructure amounts are to be separately identified and accounted for in a capital projects fund established for the statewide sales and services tax for school infrastructure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96.7(3)</w:t>
      </w:r>
      <w:r>
        <w:rPr>
          <w:rFonts w:ascii="Times New Roman" w:hAnsi="Times New Roman"/>
          <w:b w:val="false"/>
          <w:i w:val="false"/>
          <w:color w:val="000000"/>
          <w:sz w:val="22"/>
        </w:rPr>
        <w:t> </w:t>
      </w:r>
      <w:r>
        <w:rPr>
          <w:rFonts w:ascii="Times New Roman" w:hAnsi="Times New Roman"/>
          <w:b w:val="false"/>
          <w:i/>
          <w:color w:val="000000"/>
          <w:sz w:val="22"/>
        </w:rPr>
        <w:t xml:space="preserve">Withdrawal of application. </w:t>
      </w:r>
      <w:r>
        <w:rPr>
          <w:rFonts w:ascii="Times New Roman" w:hAnsi="Times New Roman"/>
          <w:b w:val="false"/>
          <w:i w:val="false"/>
          <w:color w:val="000000"/>
          <w:sz w:val="22"/>
        </w:rPr>
        <w:t>If a school district is granted a certificate of need for a project and the school district elects not to continue with the project, the school district is to notify the department within ten working days following the board action to discontinue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96.7(4)</w:t>
      </w:r>
      <w:r>
        <w:rPr>
          <w:rFonts w:ascii="Times New Roman" w:hAnsi="Times New Roman"/>
          <w:b w:val="false"/>
          <w:i w:val="false"/>
          <w:color w:val="000000"/>
          <w:sz w:val="22"/>
        </w:rPr>
        <w:t> </w:t>
      </w:r>
      <w:r>
        <w:rPr>
          <w:rFonts w:ascii="Times New Roman" w:hAnsi="Times New Roman"/>
          <w:b w:val="false"/>
          <w:i/>
          <w:color w:val="000000"/>
          <w:sz w:val="22"/>
        </w:rPr>
        <w:t xml:space="preserve">Forfeiture of certificate. </w:t>
      </w:r>
      <w:r>
        <w:rPr>
          <w:rFonts w:ascii="Times New Roman" w:hAnsi="Times New Roman"/>
          <w:b w:val="false"/>
          <w:i w:val="false"/>
          <w:color w:val="000000"/>
          <w:sz w:val="22"/>
        </w:rPr>
        <w:t>Failure to comply with any of the rules in this chapter or provide information that is included in the certificate of need application or that is requested by the department may result in the forfeiture of the certificate of need or removal from the application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281—96.8</w:t>
      </w:r>
      <w:r>
        <w:rPr>
          <w:rFonts w:ascii="Times New Roman" w:hAnsi="Times New Roman"/>
          <w:b/>
          <w:i w:val="false"/>
          <w:color w:val="000000"/>
          <w:sz w:val="22"/>
        </w:rPr>
        <w:t xml:space="preserve">(423E,423F) </w:t>
      </w:r>
      <w:r>
        <w:rPr>
          <w:rFonts w:ascii="Times New Roman" w:hAnsi="Times New Roman"/>
          <w:b/>
          <w:i w:val="false"/>
          <w:color w:val="000000"/>
          <w:sz w:val="22"/>
        </w:rPr>
        <w:t xml:space="preserve">Appeal of certificate denial. </w:t>
      </w:r>
      <w:r>
        <w:rPr>
          <w:rFonts w:ascii="Times New Roman" w:hAnsi="Times New Roman"/>
          <w:b w:val="false"/>
          <w:i w:val="false"/>
          <w:color w:val="000000"/>
          <w:sz w:val="22"/>
        </w:rPr>
        <w:t xml:space="preserve">Any applicant may appeal the denial of a properly submitted application for certificate of need to the director of the department. Appeals are to be (1) in writing, (2) received within ten working days of the date of the notice of the decision to deny, and (3) based on a contention that the process was conducted outside of statutory authority; violated state or federal law, policy, or rule; did not provide adequate public notice; was altered without adequate public notice; or involved conflict of interest by staff or committee members. The hearing and appeals procedures found in </w:t>
      </w:r>
      <w:hyperlink r:id="rId28">
        <w:r>
          <w:rPr>
            <w:rStyle w:val="Hyperlink"/>
            <w:rFonts w:ascii="Times New Roman" w:hAnsi="Times New Roman"/>
            <w:b w:val="false"/>
            <w:i w:val="false"/>
            <w:color w:val="000000"/>
            <w:sz w:val="22"/>
          </w:rPr>
          <w:t>281—Chapter 6</w:t>
        </w:r>
      </w:hyperlink>
      <w:r>
        <w:rPr>
          <w:rFonts w:ascii="Times New Roman" w:hAnsi="Times New Roman"/>
          <w:b w:val="false"/>
          <w:i w:val="false"/>
          <w:color w:val="000000"/>
          <w:sz w:val="22"/>
        </w:rPr>
        <w:t xml:space="preserve"> that govern the director’s decisions apply to any appeal of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9">
        <w:r>
          <w:rPr>
            <w:rStyle w:val="Hyperlink"/>
            <w:rFonts w:ascii="Times New Roman" w:hAnsi="Times New Roman"/>
            <w:b w:val="false"/>
            <w:i w:val="false"/>
            <w:color w:val="000000"/>
            <w:sz w:val="22"/>
          </w:rPr>
          <w:t>423E</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9/16/98—published 10/7/98, effective 9/16/98]</w:t>
      </w:r>
    </w:p>
    <w:p>
      <w:pPr>
        <w:spacing w:before="0" w:after="0"/>
        <w:ind w:left="120"/>
        <w:jc w:val="center"/>
      </w:pPr>
      <w:r>
        <w:rPr>
          <w:rFonts w:ascii="Times New Roman" w:hAnsi="Times New Roman"/>
          <w:b w:val="false"/>
          <w:i w:val="false"/>
          <w:color w:val="000000"/>
          <w:sz w:val="21"/>
        </w:rPr>
        <w:t>[Filed 10/26/98, Notice 9/9/98—published 11/18/98, effective 12/23/98]</w:t>
      </w:r>
    </w:p>
    <w:p>
      <w:pPr>
        <w:spacing w:before="0" w:after="0"/>
        <w:ind w:left="120"/>
        <w:jc w:val="center"/>
      </w:pPr>
      <w:r>
        <w:rPr>
          <w:rFonts w:ascii="Times New Roman" w:hAnsi="Times New Roman"/>
          <w:b w:val="false"/>
          <w:i w:val="false"/>
          <w:color w:val="000000"/>
          <w:sz w:val="21"/>
        </w:rPr>
        <w:t>[Filed emergency 8/4/00 after Notice 6/28/00—published 8/23/00, effective 8/7/00]</w:t>
      </w:r>
    </w:p>
    <w:p>
      <w:pPr>
        <w:spacing w:before="0" w:after="0"/>
        <w:ind w:left="120"/>
        <w:jc w:val="center"/>
      </w:pPr>
      <w:r>
        <w:rPr>
          <w:rFonts w:ascii="Times New Roman" w:hAnsi="Times New Roman"/>
          <w:b w:val="false"/>
          <w:i w:val="false"/>
          <w:color w:val="000000"/>
          <w:sz w:val="21"/>
        </w:rPr>
        <w:t>[Filed 4/20/05, Notice 2/16/05—published 5/11/05, effective 6/15/05]</w:t>
      </w:r>
    </w:p>
    <w:p>
      <w:pPr>
        <w:spacing w:before="0" w:after="0"/>
        <w:ind w:left="120"/>
        <w:jc w:val="center"/>
      </w:pPr>
      <w:r>
        <w:rPr>
          <w:rFonts w:ascii="Times New Roman" w:hAnsi="Times New Roman"/>
          <w:b w:val="false"/>
          <w:i w:val="false"/>
          <w:color w:val="000000"/>
          <w:sz w:val="21"/>
        </w:rPr>
        <w:t>[Filed 11/16/05, Notice 9/28/05—published 12/7/05, effective 1/11/06]</w:t>
      </w:r>
    </w:p>
    <w:p>
      <w:pPr>
        <w:spacing w:before="0" w:after="0"/>
        <w:ind w:left="120"/>
        <w:jc w:val="center"/>
      </w:pPr>
      <w:r>
        <w:rPr>
          <w:rFonts w:ascii="Times New Roman" w:hAnsi="Times New Roman"/>
          <w:b w:val="false"/>
          <w:i w:val="false"/>
          <w:color w:val="000000"/>
          <w:sz w:val="21"/>
        </w:rPr>
        <w:t>[Filed ARC 8384B</w:t>
      </w:r>
      <w:r>
        <w:rPr>
          <w:rFonts w:ascii="Times New Roman" w:hAnsi="Times New Roman"/>
          <w:b w:val="false"/>
          <w:i w:val="false"/>
          <w:color w:val="000000"/>
          <w:sz w:val="21"/>
        </w:rPr>
        <w:t xml:space="preserve"> (Notice ARC 8048B, IAB 8/26/09)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9473B</w:t>
      </w:r>
      <w:r>
        <w:rPr>
          <w:rFonts w:ascii="Times New Roman" w:hAnsi="Times New Roman"/>
          <w:b w:val="false"/>
          <w:i w:val="false"/>
          <w:color w:val="000000"/>
          <w:sz w:val="21"/>
        </w:rPr>
        <w:t xml:space="preserve"> (Notice ARC 9373B, IAB 2/23/11)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4811C</w:t>
      </w:r>
      <w:r>
        <w:rPr>
          <w:rFonts w:ascii="Times New Roman" w:hAnsi="Times New Roman"/>
          <w:b w:val="false"/>
          <w:i w:val="false"/>
          <w:color w:val="000000"/>
          <w:sz w:val="21"/>
        </w:rPr>
        <w:t xml:space="preserve"> (Notice ARC 4685C,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7800C</w:t>
      </w:r>
      <w:r>
        <w:rPr>
          <w:rFonts w:ascii="Times New Roman" w:hAnsi="Times New Roman"/>
          <w:b w:val="false"/>
          <w:i w:val="false"/>
          <w:color w:val="000000"/>
          <w:sz w:val="21"/>
        </w:rPr>
        <w:t xml:space="preserve"> (Notice ARC 7596C, IAB 2/7/24)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7.6.pdf" Type="http://schemas.openxmlformats.org/officeDocument/2006/relationships/hyperlink" Id="rId5"/>
    <Relationship TargetMode="External" Target="https://www.legis.iowa.gov/docs/iac/rule/281.96.2.pdf" Type="http://schemas.openxmlformats.org/officeDocument/2006/relationships/hyperlink" Id="rId6"/>
    <Relationship TargetMode="External" Target="https://www.legis.iowa.gov/docs/ico/chapter/282.1.pdf" Type="http://schemas.openxmlformats.org/officeDocument/2006/relationships/hyperlink" Id="rId7"/>
    <Relationship TargetMode="External" Target="https://www.legis.iowa.gov/docs/ico/chapter/282.1.pdf" Type="http://schemas.openxmlformats.org/officeDocument/2006/relationships/hyperlink" Id="rId8"/>
    <Relationship TargetMode="External" Target="https://www.legis.iowa.gov/docs/ico/chapter/423E.pdf" Type="http://schemas.openxmlformats.org/officeDocument/2006/relationships/hyperlink" Id="rId9"/>
    <Relationship TargetMode="External" Target="https://www.legis.iowa.gov/docs/ico/chapter/423F.pdf" Type="http://schemas.openxmlformats.org/officeDocument/2006/relationships/hyperlink" Id="rId10"/>
    <Relationship TargetMode="External" Target="https://www.legis.iowa.gov/docs/ico/chapter/423F.pdf" Type="http://schemas.openxmlformats.org/officeDocument/2006/relationships/hyperlink" Id="rId11"/>
    <Relationship TargetMode="External" Target="https://www.legis.iowa.gov/docs/ico/chapter/257.30.pdf" Type="http://schemas.openxmlformats.org/officeDocument/2006/relationships/hyperlink" Id="rId12"/>
    <Relationship TargetMode="External" Target="https://www.legis.iowa.gov/docs/ico/chapter/423F.3.pdf" Type="http://schemas.openxmlformats.org/officeDocument/2006/relationships/hyperlink" Id="rId13"/>
    <Relationship TargetMode="External" Target="https://www.legis.iowa.gov/docs/ico/chapter/384.37.pdf" Type="http://schemas.openxmlformats.org/officeDocument/2006/relationships/hyperlink" Id="rId14"/>
    <Relationship TargetMode="External" Target="https://www.legis.iowa.gov/docs/ico/chapter/423E.4.pdf" Type="http://schemas.openxmlformats.org/officeDocument/2006/relationships/hyperlink" Id="rId15"/>
    <Relationship TargetMode="External" Target="https://www.legis.iowa.gov/docs/ico/chapter/282.1.pdf" Type="http://schemas.openxmlformats.org/officeDocument/2006/relationships/hyperlink" Id="rId16"/>
    <Relationship TargetMode="External" Target="https://www.legis.iowa.gov/docs/ico/chapter/298.3.pdf" Type="http://schemas.openxmlformats.org/officeDocument/2006/relationships/hyperlink" Id="rId17"/>
    <Relationship TargetMode="External" Target="https://www.legis.iowa.gov/docs/ico/chapter/423F.3.pdf" Type="http://schemas.openxmlformats.org/officeDocument/2006/relationships/hyperlink" Id="rId18"/>
    <Relationship TargetMode="External" Target="https://www.legis.iowa.gov/docs/iac/rule/289.1.4.pdf" Type="http://schemas.openxmlformats.org/officeDocument/2006/relationships/hyperlink" Id="rId19"/>
    <Relationship TargetMode="External" Target="https://www.legis.iowa.gov/docs/ico/chapter/256.9.pdf" Type="http://schemas.openxmlformats.org/officeDocument/2006/relationships/hyperlink" Id="rId20"/>
    <Relationship TargetMode="External" Target="https://www.legis.iowa.gov/docs/ico/chapter/257.14.pdf" Type="http://schemas.openxmlformats.org/officeDocument/2006/relationships/hyperlink" Id="rId21"/>
    <Relationship TargetMode="External" Target="https://www.legis.iowa.gov/docs/ico/chapter/104A.pdf" Type="http://schemas.openxmlformats.org/officeDocument/2006/relationships/hyperlink" Id="rId22"/>
    <Relationship TargetMode="External" Target="https://www.legis.iowa.gov/docs/ico/chapter/423E.4.pdf" Type="http://schemas.openxmlformats.org/officeDocument/2006/relationships/hyperlink" Id="rId23"/>
    <Relationship TargetMode="External" Target="https://www.legis.iowa.gov/docs/iac/rule/281.96.4.pdf" Type="http://schemas.openxmlformats.org/officeDocument/2006/relationships/hyperlink" Id="rId24"/>
    <Relationship TargetMode="External" Target="https://www.legis.iowa.gov/docs/iac/rule/281.96.5.pdf" Type="http://schemas.openxmlformats.org/officeDocument/2006/relationships/hyperlink" Id="rId25"/>
    <Relationship TargetMode="External" Target="https://www.legis.iowa.gov/docs/ico/chapter/256.9.pdf" Type="http://schemas.openxmlformats.org/officeDocument/2006/relationships/hyperlink" Id="rId26"/>
    <Relationship TargetMode="External" Target="https://www.legis.iowa.gov/docs/ico/chapter/275.1-4.pdf" Type="http://schemas.openxmlformats.org/officeDocument/2006/relationships/hyperlink" Id="rId27"/>
    <Relationship TargetMode="External" Target="https://www.legis.iowa.gov/docs/iac/chapter/281.6.pdf" Type="http://schemas.openxmlformats.org/officeDocument/2006/relationships/hyperlink" Id="rId28"/>
    <Relationship TargetMode="External" Target="https://www.legis.iowa.gov/docs/ico/chapter/423E.pdf" Type="http://schemas.openxmlformats.org/officeDocument/2006/relationships/hyperlink" Id="rId29"/>
    <Relationship TargetMode="External" Target="https://www.legis.iowa.gov/docs/ico/chapter/423F.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