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PROGRAMS FOR AT-RISK EARLY ELEMENTARY STUDENTS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281—65.1</w:t>
      </w:r>
      <w:r>
        <w:rPr>
          <w:rFonts w:ascii="Times New Roman" w:hAnsi="Times New Roman"/>
          <w:b/>
          <w:i w:val="false"/>
          <w:color w:val="000000"/>
          <w:sz w:val="22"/>
        </w:rPr>
        <w:t xml:space="preserve">(279)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“At-risk student” </w:t>
      </w:r>
      <w:r>
        <w:rPr>
          <w:rFonts w:ascii="Times New Roman" w:hAnsi="Times New Roman"/>
          <w:b w:val="false"/>
          <w:i w:val="false"/>
          <w:color w:val="000000"/>
          <w:sz w:val="22"/>
        </w:rPr>
        <w:t>means, for purposes of this chapter, a student in early elementary grades who is eligible for free or reduced price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“Awardee” </w:t>
      </w:r>
      <w:r>
        <w:rPr>
          <w:rFonts w:ascii="Times New Roman" w:hAnsi="Times New Roman"/>
          <w:b w:val="false"/>
          <w:i w:val="false"/>
          <w:color w:val="000000"/>
          <w:sz w:val="22"/>
        </w:rPr>
        <w:t>means a public school district designated to receive the at-risk early elementary school award funds for buildings serving early elementary grades with a high percentage of at-risk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elementary grades” </w:t>
      </w:r>
      <w:r>
        <w:rPr>
          <w:rFonts w:ascii="Times New Roman" w:hAnsi="Times New Roman"/>
          <w:b w:val="false"/>
          <w:i w:val="false"/>
          <w:color w:val="000000"/>
          <w:sz w:val="22"/>
        </w:rPr>
        <w:t>means kindergarten through grade three.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281—65.2</w:t>
      </w:r>
      <w:r>
        <w:rPr>
          <w:rFonts w:ascii="Times New Roman" w:hAnsi="Times New Roman"/>
          <w:b/>
          <w:i w:val="false"/>
          <w:color w:val="000000"/>
          <w:sz w:val="22"/>
        </w:rPr>
        <w:t xml:space="preserve">(279) </w:t>
      </w:r>
      <w:r>
        <w:rPr>
          <w:rFonts w:ascii="Times New Roman" w:hAnsi="Times New Roman"/>
          <w:b/>
          <w:i w:val="false"/>
          <w:color w:val="000000"/>
          <w:sz w:val="22"/>
        </w:rPr>
        <w:t xml:space="preserve">Eligibility identification procedures. </w:t>
      </w:r>
      <w:r>
        <w:rPr>
          <w:rFonts w:ascii="Times New Roman" w:hAnsi="Times New Roman"/>
          <w:b w:val="false"/>
          <w:i w:val="false"/>
          <w:color w:val="000000"/>
          <w:sz w:val="22"/>
        </w:rPr>
        <w:t xml:space="preserve">In a year in which funds are made available by the Iowa legislature, the department will grant awards to districts for buildings serving early elementary grades with a high percentage of at-risk students. Using a formula determined by the department and consistent with Iowa Code section </w:t>
      </w:r>
      <w:hyperlink r:id="rId5">
        <w:r>
          <w:rPr>
            <w:rStyle w:val="Hyperlink"/>
            <w:rFonts w:ascii="Times New Roman" w:hAnsi="Times New Roman"/>
            <w:b w:val="false"/>
            <w:i w:val="false"/>
            <w:color w:val="000000"/>
            <w:sz w:val="22"/>
          </w:rPr>
          <w:t>279.51</w:t>
        </w:r>
      </w:hyperlink>
      <w:r>
        <w:rPr>
          <w:rFonts w:ascii="Times New Roman" w:hAnsi="Times New Roman"/>
          <w:b w:val="false"/>
          <w:i w:val="false"/>
          <w:color w:val="000000"/>
          <w:sz w:val="22"/>
        </w:rPr>
        <w:t>(1)</w:t>
      </w:r>
      <w:r>
        <w:rPr>
          <w:rFonts w:ascii="Times New Roman" w:hAnsi="Times New Roman"/>
          <w:b w:val="false"/>
          <w:i/>
          <w:color w:val="000000"/>
          <w:sz w:val="22"/>
        </w:rPr>
        <w:t>“c,”</w:t>
      </w:r>
      <w:r>
        <w:rPr>
          <w:rFonts w:ascii="Times New Roman" w:hAnsi="Times New Roman"/>
          <w:b w:val="false"/>
          <w:i w:val="false"/>
          <w:color w:val="000000"/>
          <w:sz w:val="22"/>
        </w:rPr>
        <w:t xml:space="preserve"> the department will distribute awards based on the number of early elementary students in the identified buildings serving a high percentage of at-risk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281—65.3</w:t>
      </w:r>
      <w:r>
        <w:rPr>
          <w:rFonts w:ascii="Times New Roman" w:hAnsi="Times New Roman"/>
          <w:b/>
          <w:i w:val="false"/>
          <w:color w:val="000000"/>
          <w:sz w:val="22"/>
        </w:rPr>
        <w:t xml:space="preserve">(279) </w:t>
      </w:r>
      <w:r>
        <w:rPr>
          <w:rFonts w:ascii="Times New Roman" w:hAnsi="Times New Roman"/>
          <w:b/>
          <w:i w:val="false"/>
          <w:color w:val="000000"/>
          <w:sz w:val="22"/>
        </w:rPr>
        <w:t xml:space="preserve">Award acceptance process. </w:t>
      </w:r>
      <w:r>
        <w:rPr>
          <w:rFonts w:ascii="Times New Roman" w:hAnsi="Times New Roman"/>
          <w:b w:val="false"/>
          <w:i w:val="false"/>
          <w:color w:val="000000"/>
          <w:sz w:val="22"/>
        </w:rPr>
        <w:t>The department will notify eligible districts of the opportunity to be granted an award for a three-year cycle. A district will make formal acceptance using forms issued and procedures established by the department, and by an official with vested authority to approve the acceptance.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281—65.4</w:t>
      </w:r>
      <w:r>
        <w:rPr>
          <w:rFonts w:ascii="Times New Roman" w:hAnsi="Times New Roman"/>
          <w:b/>
          <w:i w:val="false"/>
          <w:color w:val="000000"/>
          <w:sz w:val="22"/>
        </w:rPr>
        <w:t xml:space="preserve">(279) </w:t>
      </w:r>
      <w:r>
        <w:rPr>
          <w:rFonts w:ascii="Times New Roman" w:hAnsi="Times New Roman"/>
          <w:b/>
          <w:i w:val="false"/>
          <w:color w:val="000000"/>
          <w:sz w:val="22"/>
        </w:rPr>
        <w:t xml:space="preserve">Awardee responsibilities. </w:t>
      </w:r>
      <w:r>
        <w:rPr>
          <w:rFonts w:ascii="Times New Roman" w:hAnsi="Times New Roman"/>
          <w:b w:val="false"/>
          <w:i w:val="false"/>
          <w:color w:val="000000"/>
          <w:sz w:val="22"/>
        </w:rPr>
        <w:t>Each year, the awardee will complete reports on forms provided by the department,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initial report, including a proposed budget and expected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end-of-the-year report, including total expenditures and a statement of impact on expected outcomes.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281—65.5</w:t>
      </w:r>
      <w:r>
        <w:rPr>
          <w:rFonts w:ascii="Times New Roman" w:hAnsi="Times New Roman"/>
          <w:b/>
          <w:i w:val="false"/>
          <w:color w:val="000000"/>
          <w:sz w:val="22"/>
        </w:rPr>
        <w:t xml:space="preserve">(279) </w:t>
      </w:r>
      <w:r>
        <w:rPr>
          <w:rFonts w:ascii="Times New Roman" w:hAnsi="Times New Roman"/>
          <w:b/>
          <w:i w:val="false"/>
          <w:color w:val="000000"/>
          <w:sz w:val="22"/>
        </w:rPr>
        <w:t xml:space="preserve">Allowable expenditures. </w:t>
      </w:r>
      <w:r>
        <w:rPr>
          <w:rFonts w:ascii="Times New Roman" w:hAnsi="Times New Roman"/>
          <w:b w:val="false"/>
          <w:i w:val="false"/>
          <w:color w:val="000000"/>
          <w:sz w:val="22"/>
        </w:rPr>
        <w:t>School districts will provide, at a minimum, the activities set forth in Iowa Code section</w:t>
      </w:r>
      <w:hyperlink r:id="rId6">
        <w:r>
          <w:rPr>
            <w:rStyle w:val="Hyperlink"/>
            <w:rFonts w:ascii="Times New Roman" w:hAnsi="Times New Roman"/>
            <w:b w:val="false"/>
            <w:i w:val="false"/>
            <w:color w:val="000000"/>
            <w:sz w:val="22"/>
          </w:rPr>
          <w:t> 279.51</w:t>
        </w:r>
      </w:hyperlink>
      <w:r>
        <w:rPr>
          <w:rFonts w:ascii="Times New Roman" w:hAnsi="Times New Roman"/>
          <w:b w:val="false"/>
          <w:i w:val="false"/>
          <w:color w:val="000000"/>
          <w:sz w:val="22"/>
        </w:rPr>
        <w:t>(1)</w:t>
      </w:r>
      <w:r>
        <w:rPr>
          <w:rFonts w:ascii="Times New Roman" w:hAnsi="Times New Roman"/>
          <w:b w:val="false"/>
          <w:i/>
          <w:color w:val="000000"/>
          <w:sz w:val="22"/>
        </w:rPr>
        <w:t>“c.”</w:t>
      </w:r>
      <w:r>
        <w:rPr>
          <w:rFonts w:ascii="Times New Roman" w:hAnsi="Times New Roman"/>
          <w:b w:val="false"/>
          <w:i w:val="false"/>
          <w:color w:val="000000"/>
          <w:sz w:val="22"/>
        </w:rPr>
        <w:t xml:space="preserve"> Additional allowable expenditures include salaries and benefits for teachers and paraeducators, and activities and materials to improve academic achievement. These funds are to be used for instruction, activities, and materials that are in addition to the regular school curricula for children participating in these programs, and only to be used in the building for which the award is made. Inappropriate uses of award funding include indirect costs or use charges, operational or maintenance costs, capital expenditures, student transportation other than that which is directly related to the activities and materials described in this rule, or administrative costs. Moneys received are subject to the general provisions described in </w:t>
      </w:r>
      <w:hyperlink r:id="rId7">
        <w:r>
          <w:rPr>
            <w:rStyle w:val="Hyperlink"/>
            <w:rFonts w:ascii="Times New Roman" w:hAnsi="Times New Roman"/>
            <w:b w:val="false"/>
            <w:i w:val="false"/>
            <w:color w:val="000000"/>
            <w:sz w:val="22"/>
          </w:rPr>
          <w:t>281—Chapter 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281—65.6</w:t>
      </w:r>
      <w:r>
        <w:rPr>
          <w:rFonts w:ascii="Times New Roman" w:hAnsi="Times New Roman"/>
          <w:b/>
          <w:i w:val="false"/>
          <w:color w:val="000000"/>
          <w:sz w:val="22"/>
        </w:rPr>
        <w:t xml:space="preserve">(279)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The awardee will cooperate with the department and provide requested information to determine how well the outcomes in rule </w:t>
      </w:r>
      <w:hyperlink r:id="rId8">
        <w:r>
          <w:rPr>
            <w:rStyle w:val="Hyperlink"/>
            <w:rFonts w:ascii="Times New Roman" w:hAnsi="Times New Roman"/>
            <w:b w:val="false"/>
            <w:i w:val="false"/>
            <w:color w:val="000000"/>
            <w:sz w:val="22"/>
          </w:rPr>
          <w:t>281—65.4(279)</w:t>
        </w:r>
      </w:hyperlink>
      <w:r>
        <w:rPr>
          <w:rFonts w:ascii="Times New Roman" w:hAnsi="Times New Roman"/>
          <w:b w:val="false"/>
          <w:i w:val="false"/>
          <w:color w:val="000000"/>
          <w:sz w:val="22"/>
        </w:rPr>
        <w:t xml:space="preserve"> are being met. Statewide leadership teams will review final reports and provide useful feedback about buildings to awardees. This feedback will include information about innovative components to building programs. Buildings demonstrating innovation will be given preference the following grant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281—65.7</w:t>
      </w:r>
      <w:r>
        <w:rPr>
          <w:rFonts w:ascii="Times New Roman" w:hAnsi="Times New Roman"/>
          <w:b/>
          <w:i w:val="false"/>
          <w:color w:val="000000"/>
          <w:sz w:val="22"/>
        </w:rPr>
        <w:t xml:space="preserve">(279) </w:t>
      </w:r>
      <w:r>
        <w:rPr>
          <w:rFonts w:ascii="Times New Roman" w:hAnsi="Times New Roman"/>
          <w:b/>
          <w:i w:val="false"/>
          <w:color w:val="000000"/>
          <w:sz w:val="22"/>
        </w:rPr>
        <w:t xml:space="preserve">Budget revisions. </w:t>
      </w:r>
      <w:r>
        <w:rPr>
          <w:rFonts w:ascii="Times New Roman" w:hAnsi="Times New Roman"/>
          <w:b w:val="false"/>
          <w:i w:val="false"/>
          <w:color w:val="000000"/>
          <w:sz w:val="22"/>
        </w:rPr>
        <w:t>The department may grant approval to an awardee for any revisions in the proposed budget in excess of 10 percent of a line item, provided the revisions do not increase the total amount of the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281—65.8</w:t>
      </w:r>
      <w:r>
        <w:rPr>
          <w:rFonts w:ascii="Times New Roman" w:hAnsi="Times New Roman"/>
          <w:b/>
          <w:i w:val="false"/>
          <w:color w:val="000000"/>
          <w:sz w:val="22"/>
        </w:rPr>
        <w:t xml:space="preserve">(279) </w:t>
      </w:r>
      <w:r>
        <w:rPr>
          <w:rFonts w:ascii="Times New Roman" w:hAnsi="Times New Roman"/>
          <w:b/>
          <w:i w:val="false"/>
          <w:color w:val="000000"/>
          <w:sz w:val="22"/>
        </w:rPr>
        <w:t xml:space="preserv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w:t>
      </w:r>
      <w:r>
        <w:rPr>
          <w:rFonts w:ascii="Times New Roman" w:hAnsi="Times New Roman"/>
          <w:b w:val="false"/>
          <w:i w:val="false"/>
          <w:color w:val="000000"/>
          <w:sz w:val="22"/>
        </w:rPr>
        <w:t> </w:t>
      </w:r>
      <w:r>
        <w:rPr>
          <w:rFonts w:ascii="Times New Roman" w:hAnsi="Times New Roman"/>
          <w:b w:val="false"/>
          <w:i/>
          <w:color w:val="000000"/>
          <w:sz w:val="22"/>
        </w:rPr>
        <w:t xml:space="preserve">Termination for convenience. </w:t>
      </w:r>
      <w:r>
        <w:rPr>
          <w:rFonts w:ascii="Times New Roman" w:hAnsi="Times New Roman"/>
          <w:b w:val="false"/>
          <w:i w:val="false"/>
          <w:color w:val="000000"/>
          <w:sz w:val="22"/>
        </w:rPr>
        <w:t>The award may be terminated, in whole or in part, upon agreement of both parties, concerning the termination conditions, the effective date, and in the case of partial termination, the portion to be terminated. The awardee shall cancel as many outstanding obligations as possible and not incur new obligations for the terminated portion after the effective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65.8(2)</w:t>
      </w:r>
      <w:r>
        <w:rPr>
          <w:rFonts w:ascii="Times New Roman" w:hAnsi="Times New Roman"/>
          <w:b w:val="false"/>
          <w:i w:val="false"/>
          <w:color w:val="000000"/>
          <w:sz w:val="22"/>
        </w:rPr>
        <w:t> </w:t>
      </w:r>
      <w:r>
        <w:rPr>
          <w:rFonts w:ascii="Times New Roman" w:hAnsi="Times New Roman"/>
          <w:b w:val="false"/>
          <w:i/>
          <w:color w:val="000000"/>
          <w:sz w:val="22"/>
        </w:rPr>
        <w:t xml:space="preserve">Termination for cause.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award may be terminated, in whole or in part, at any time before the date of completion, whenever the department determines, after notice and an opportunity to be heard, that the awardee has failed to comply substantially with the conditions of the award. The awardee will be notified in writing by the department of the reasons for the termination and the effective date. The awardee shall cancel as many outstanding obligations as possible and not incur new obligations for the terminated portion after the effective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administer the at-risk early elementary school awards contingent upon the availability of state funds. If there is a lack of funds necessary to fulfill the fiscal responsibility of the awards, the awards are to be terminated or renegotiated. The department may terminate or renegotiate an award upon 30 days’ notice when there is a reduction of funds by executive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awardee at termination. </w:t>
      </w:r>
      <w:r>
        <w:rPr>
          <w:rFonts w:ascii="Times New Roman" w:hAnsi="Times New Roman"/>
          <w:b w:val="false"/>
          <w:i w:val="false"/>
          <w:color w:val="000000"/>
          <w:sz w:val="22"/>
        </w:rPr>
        <w:t>Within 45 days of the effective date of award termination, the awardee will supply the department with a financial statement detailing all program expenditures up to the effective date of the termination. The awardee will be solely responsible for all expenditures after the effective date of 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281—65.9</w:t>
      </w:r>
      <w:r>
        <w:rPr>
          <w:rFonts w:ascii="Times New Roman" w:hAnsi="Times New Roman"/>
          <w:b/>
          <w:i w:val="false"/>
          <w:color w:val="000000"/>
          <w:sz w:val="22"/>
        </w:rPr>
        <w:t xml:space="preserve">(279) </w:t>
      </w:r>
      <w:r>
        <w:rPr>
          <w:rFonts w:ascii="Times New Roman" w:hAnsi="Times New Roman"/>
          <w:b/>
          <w:i w:val="false"/>
          <w:color w:val="000000"/>
          <w:sz w:val="22"/>
        </w:rPr>
        <w:t xml:space="preserve">Appeals from terminations. </w:t>
      </w:r>
      <w:r>
        <w:rPr>
          <w:rFonts w:ascii="Times New Roman" w:hAnsi="Times New Roman"/>
          <w:b w:val="false"/>
          <w:i w:val="false"/>
          <w:color w:val="000000"/>
          <w:sz w:val="22"/>
        </w:rPr>
        <w:t>Any awardee aggrieved by a unilateral termination of an award may appeal the decision to the director of the department in writing within 30 days of the decision to terminate.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w:t>
      </w:r>
      <w:r>
        <w:rPr>
          <w:rFonts w:ascii="Times New Roman" w:hAnsi="Times New Roman"/>
          <w:b w:val="false"/>
          <w:i w:val="false"/>
          <w:color w:val="000000"/>
          <w:sz w:val="22"/>
        </w:rPr>
        <w:t> </w:t>
      </w:r>
      <w:r>
        <w:rPr>
          <w:rFonts w:ascii="Times New Roman" w:hAnsi="Times New Roman"/>
          <w:b w:val="false"/>
          <w:i/>
          <w:color w:val="000000"/>
          <w:sz w:val="22"/>
        </w:rPr>
        <w:t xml:space="preserve">Form of appeal. </w:t>
      </w:r>
      <w:r>
        <w:rPr>
          <w:rFonts w:ascii="Times New Roman" w:hAnsi="Times New Roman"/>
          <w:b w:val="false"/>
          <w:i w:val="false"/>
          <w:color w:val="000000"/>
          <w:sz w:val="22"/>
        </w:rPr>
        <w:t>In the notice of appeal, the awardee will give a short and plain statement of the reason for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 xml:space="preserve">The hearing procedures found at </w:t>
      </w:r>
      <w:hyperlink r:id="rId9">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will apply to appeals of terminated awards. The director will issue a decision within a reasonable time, not to exceed 120 days from the date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65.9(3)</w:t>
      </w:r>
      <w:r>
        <w:rPr>
          <w:rFonts w:ascii="Times New Roman" w:hAnsi="Times New Roman"/>
          <w:b w:val="false"/>
          <w:i w:val="false"/>
          <w:color w:val="000000"/>
          <w:sz w:val="22"/>
        </w:rPr>
        <w:t> </w:t>
      </w:r>
      <w:r>
        <w:rPr>
          <w:rFonts w:ascii="Times New Roman" w:hAnsi="Times New Roman"/>
          <w:b w:val="false"/>
          <w:i/>
          <w:color w:val="000000"/>
          <w:sz w:val="22"/>
        </w:rPr>
        <w:t xml:space="preserve">Grounds for reversal. </w:t>
      </w:r>
      <w:r>
        <w:rPr>
          <w:rFonts w:ascii="Times New Roman" w:hAnsi="Times New Roman"/>
          <w:b w:val="false"/>
          <w:i w:val="false"/>
          <w:color w:val="000000"/>
          <w:sz w:val="22"/>
        </w:rPr>
        <w:t>Termination of an award under this chapter may be reversed only if the awardee proves the process was conducted outside of statutory authority; violated state or federal law, policy, or rule; did not provide adequate public notice; was altered without adequate public notice; or involved conflict of interest by staff or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65.9(4)</w:t>
      </w:r>
      <w:r>
        <w:rPr>
          <w:rFonts w:ascii="Times New Roman" w:hAnsi="Times New Roman"/>
          <w:b w:val="false"/>
          <w:i w:val="false"/>
          <w:color w:val="000000"/>
          <w:sz w:val="22"/>
        </w:rPr>
        <w:t> </w:t>
      </w:r>
      <w:r>
        <w:rPr>
          <w:rFonts w:ascii="Times New Roman" w:hAnsi="Times New Roman"/>
          <w:b w:val="false"/>
          <w:i/>
          <w:color w:val="000000"/>
          <w:sz w:val="22"/>
        </w:rPr>
        <w:t xml:space="preserve">Mandatory denial of appeal. </w:t>
      </w:r>
      <w:r>
        <w:rPr>
          <w:rFonts w:ascii="Times New Roman" w:hAnsi="Times New Roman"/>
          <w:b w:val="false"/>
          <w:i w:val="false"/>
          <w:color w:val="000000"/>
          <w:sz w:val="22"/>
        </w:rPr>
        <w:t>In lieu of a decision on the merits of an appeal, the director of the department will deny an appeal if the director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is untimely;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appellant lacks standing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appeal is not in the necessary form or is based upon frivolous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appeal is moot because the issues raised in the notice of appeal or at the hearing have been settled by the parties;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termination of the award was beyond the control of the department due to lack of available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279.51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1/5/90 after Notice 11/1/89—published 1/24/90, effective 1/5/90]</w:t>
      </w:r>
    </w:p>
    <w:p>
      <w:pPr>
        <w:spacing w:before="0" w:after="0"/>
        <w:ind w:left="120"/>
        <w:jc w:val="center"/>
      </w:pPr>
      <w:r>
        <w:rPr>
          <w:rFonts w:ascii="Times New Roman" w:hAnsi="Times New Roman"/>
          <w:b w:val="false"/>
          <w:i w:val="false"/>
          <w:color w:val="000000"/>
          <w:sz w:val="21"/>
        </w:rPr>
        <w:t>[Filed emergency 11/21/90—published 12/12/90, effective 11/21/90]</w:t>
      </w:r>
    </w:p>
    <w:p>
      <w:pPr>
        <w:spacing w:before="0" w:after="0"/>
        <w:ind w:left="120"/>
        <w:jc w:val="center"/>
      </w:pPr>
      <w:r>
        <w:rPr>
          <w:rFonts w:ascii="Times New Roman" w:hAnsi="Times New Roman"/>
          <w:b w:val="false"/>
          <w:i w:val="false"/>
          <w:color w:val="000000"/>
          <w:sz w:val="21"/>
        </w:rPr>
        <w:t>[Filed 4/15/94, Notice 3/2/94—published 5/11/94, effective 6/15/94]</w:t>
      </w:r>
    </w:p>
    <w:p>
      <w:pPr>
        <w:spacing w:before="0" w:after="0"/>
        <w:ind w:left="120"/>
        <w:jc w:val="center"/>
      </w:pPr>
      <w:r>
        <w:rPr>
          <w:rFonts w:ascii="Times New Roman" w:hAnsi="Times New Roman"/>
          <w:b w:val="false"/>
          <w:i w:val="false"/>
          <w:color w:val="000000"/>
          <w:sz w:val="21"/>
        </w:rPr>
        <w:t>[Filed ARC 3042C</w:t>
      </w:r>
      <w:r>
        <w:rPr>
          <w:rFonts w:ascii="Times New Roman" w:hAnsi="Times New Roman"/>
          <w:b w:val="false"/>
          <w:i w:val="false"/>
          <w:color w:val="000000"/>
          <w:sz w:val="21"/>
        </w:rPr>
        <w:t xml:space="preserve"> (Notice ARC 2939C, IAB 2/15/17)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7429C</w:t>
      </w:r>
      <w:r>
        <w:rPr>
          <w:rFonts w:ascii="Times New Roman" w:hAnsi="Times New Roman"/>
          <w:b w:val="false"/>
          <w:i w:val="false"/>
          <w:color w:val="000000"/>
          <w:sz w:val="21"/>
        </w:rPr>
        <w:t xml:space="preserve"> (Notice ARC 7095C,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9.51.pdf" Type="http://schemas.openxmlformats.org/officeDocument/2006/relationships/hyperlink" Id="rId5"/>
    <Relationship TargetMode="External" Target="https://www.legis.iowa.gov/docs/ico/chapter/279.51.pdf" Type="http://schemas.openxmlformats.org/officeDocument/2006/relationships/hyperlink" Id="rId6"/>
    <Relationship TargetMode="External" Target="https://www.legis.iowa.gov/docs/iac/chapter/281.98.pdf" Type="http://schemas.openxmlformats.org/officeDocument/2006/relationships/hyperlink" Id="rId7"/>
    <Relationship TargetMode="External" Target="https://www.legis.iowa.gov/docs/iac/rule/281.65.4.pdf" Type="http://schemas.openxmlformats.org/officeDocument/2006/relationships/hyperlink" Id="rId8"/>
    <Relationship TargetMode="External" Target="https://www.legis.iowa.gov/docs/iac/chapter/281.6.pdf" Type="http://schemas.openxmlformats.org/officeDocument/2006/relationships/hyperlink" Id="rId9"/>
    <Relationship TargetMode="External" Target="https://www.legis.iowa.gov/docs/ico/chapter/279.51.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