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w:t>
      </w:r>
    </w:p>
    <w:p>
      <w:pPr>
        <w:spacing w:before="0" w:after="0"/>
        <w:ind w:left="120"/>
        <w:jc w:val="center"/>
      </w:pPr>
      <w:r>
        <w:rPr>
          <w:rFonts w:ascii="Times New Roman" w:hAnsi="Times New Roman"/>
          <w:b w:val="false"/>
          <w:i w:val="false"/>
          <w:color w:val="000000"/>
          <w:sz w:val="21"/>
        </w:rPr>
        <w:t>MINERALS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27—60.1</w:t>
      </w:r>
      <w:r>
        <w:rPr>
          <w:rFonts w:ascii="Times New Roman" w:hAnsi="Times New Roman"/>
          <w:b w:val="false"/>
          <w:i w:val="false"/>
          <w:color w:val="000000"/>
          <w:sz w:val="22"/>
        </w:rPr>
        <w:t xml:space="preserve"> to </w:t>
      </w:r>
      <w:r>
        <w:rPr>
          <w:rFonts w:ascii="Times New Roman" w:hAnsi="Times New Roman"/>
          <w:b/>
          <w:i w:val="false"/>
          <w:color w:val="000000"/>
          <w:sz w:val="22"/>
        </w:rPr>
        <w:t>60.9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27—60.10</w:t>
      </w:r>
      <w:r>
        <w:rPr>
          <w:rFonts w:ascii="Times New Roman" w:hAnsi="Times New Roman"/>
          <w:b/>
          <w:i w:val="false"/>
          <w:color w:val="000000"/>
          <w:sz w:val="22"/>
        </w:rPr>
        <w:t xml:space="preserve">(208) </w:t>
      </w:r>
      <w:r>
        <w:rPr>
          <w:rFonts w:ascii="Times New Roman" w:hAnsi="Times New Roman"/>
          <w:b/>
          <w:i w:val="false"/>
          <w:color w:val="000000"/>
          <w:sz w:val="22"/>
        </w:rPr>
        <w:t xml:space="preserve">Authority and scope. </w:t>
      </w:r>
      <w:r>
        <w:rPr>
          <w:rFonts w:ascii="Times New Roman" w:hAnsi="Times New Roman"/>
          <w:b w:val="false"/>
          <w:i w:val="false"/>
          <w:color w:val="000000"/>
          <w:sz w:val="22"/>
        </w:rPr>
        <w:t xml:space="preserve">This chapter establishes procedures and standards to be followed by the division of soil conservation and water quality, Iowa department of agriculture and land stewardship, in accordance with the policies of the state soil conservation and water quality committee, in implementing the requirements of Iowa Code chapter </w:t>
      </w:r>
      <w:hyperlink r:id="rId5">
        <w:r>
          <w:rPr>
            <w:rStyle w:val="Hyperlink"/>
            <w:rFonts w:ascii="Times New Roman" w:hAnsi="Times New Roman"/>
            <w:b w:val="false"/>
            <w:i w:val="false"/>
            <w:color w:val="000000"/>
            <w:sz w:val="22"/>
          </w:rPr>
          <w:t>208</w:t>
        </w:r>
      </w:hyperlink>
      <w:r>
        <w:rPr>
          <w:rFonts w:ascii="Times New Roman" w:hAnsi="Times New Roman"/>
          <w:b w:val="false"/>
          <w:i w:val="false"/>
          <w:color w:val="000000"/>
          <w:sz w:val="22"/>
        </w:rPr>
        <w:t xml:space="preserve"> to ensure reclamation upon completion of mining operations for gypsum, clay, stone, sand, gravel, and other ores or mineral solids, except coal.</w:t>
      </w:r>
    </w:p>
    <w:p>
      <w:pPr>
        <w:spacing w:before="0" w:after="0"/>
        <w:ind w:left="120"/>
        <w:jc w:val="both"/>
      </w:pPr>
      <w:r>
        <w:rPr>
          <w:rFonts w:ascii="Times New Roman" w:hAnsi="Times New Roman"/>
          <w:b w:val="false"/>
          <w:i w:val="false"/>
          <w:color w:val="000000"/>
          <w:sz w:val="22"/>
        </w:rPr>
        <w:t>Information and forms can be obtained on the department’s Web site or by contacting: Mines and Minerals Bureau, Division of Soil Conservation and Water Quality, Wallace State Office Building, Des Moines, Iowa 50319. Telephone: (515)242-5003 or (515)281-4246.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27—60.11</w:t>
      </w:r>
      <w:r>
        <w:rPr>
          <w:rFonts w:ascii="Times New Roman" w:hAnsi="Times New Roman"/>
          <w:b/>
          <w:i w:val="false"/>
          <w:color w:val="000000"/>
          <w:sz w:val="22"/>
        </w:rPr>
        <w:t xml:space="preserve">(208) </w:t>
      </w:r>
      <w:r>
        <w:rPr>
          <w:rFonts w:ascii="Times New Roman" w:hAnsi="Times New Roman"/>
          <w:b/>
          <w:i w:val="false"/>
          <w:color w:val="000000"/>
          <w:sz w:val="22"/>
        </w:rPr>
        <w:t xml:space="preserve">Rules or subrules are severable. </w:t>
      </w:r>
      <w:r>
        <w:rPr>
          <w:rFonts w:ascii="Times New Roman" w:hAnsi="Times New Roman"/>
          <w:b w:val="false"/>
          <w:i w:val="false"/>
          <w:color w:val="000000"/>
          <w:sz w:val="22"/>
        </w:rPr>
        <w:t>If any provision of a rule or subrule or the application thereof to any person or circumstance is held invalid, the invalidity does not affect other provisions or applications of the rule or subrule which can be given effect without the invalid provision or application, and to this end the provisions of these rules or subrules are severable.</w:t>
      </w:r>
    </w:p>
    <w:p>
      <w:pPr>
        <w:spacing w:before="0" w:after="0"/>
        <w:ind w:left="120"/>
        <w:jc w:val="both"/>
      </w:pPr>
      <w:r>
        <w:rPr>
          <w:rFonts w:ascii="Times New Roman" w:hAnsi="Times New Roman"/>
          <w:b/>
          <w:i w:val="false"/>
          <w:color w:val="000000"/>
          <w:sz w:val="22"/>
        </w:rPr>
        <w:t>27—60.12</w:t>
      </w:r>
      <w:r>
        <w:rPr>
          <w:rFonts w:ascii="Times New Roman" w:hAnsi="Times New Roman"/>
          <w:b/>
          <w:i w:val="false"/>
          <w:color w:val="000000"/>
          <w:sz w:val="22"/>
        </w:rPr>
        <w:t xml:space="preserve">(208) </w:t>
      </w:r>
      <w:r>
        <w:rPr>
          <w:rFonts w:ascii="Times New Roman" w:hAnsi="Times New Roman"/>
          <w:b/>
          <w:i w:val="false"/>
          <w:color w:val="000000"/>
          <w:sz w:val="22"/>
        </w:rPr>
        <w:t xml:space="preserve">Definitions. </w:t>
      </w:r>
      <w:r>
        <w:rPr>
          <w:rFonts w:ascii="Times New Roman" w:hAnsi="Times New Roman"/>
          <w:b w:val="false"/>
          <w:i w:val="false"/>
          <w:color w:val="000000"/>
          <w:sz w:val="22"/>
        </w:rPr>
        <w:t>When used in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“Acceptable species” </w:t>
      </w:r>
      <w:r>
        <w:rPr>
          <w:rFonts w:ascii="Times New Roman" w:hAnsi="Times New Roman"/>
          <w:b w:val="false"/>
          <w:i w:val="false"/>
          <w:color w:val="000000"/>
          <w:sz w:val="22"/>
        </w:rPr>
        <w:t>means plant species recognized as desirable permanent species and normally used in conjunction with agriculture, forestry, wildlife or similar plans for reclamation.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of the division of soil conservation and water quality, or a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land” </w:t>
      </w:r>
      <w:r>
        <w:rPr>
          <w:rFonts w:ascii="Times New Roman" w:hAnsi="Times New Roman"/>
          <w:b w:val="false"/>
          <w:i w:val="false"/>
          <w:color w:val="000000"/>
          <w:sz w:val="22"/>
        </w:rPr>
        <w:t>means the area of land from which overburden has been removed or upon which overburden has been deposited, or land which has otherwise been disturbed, changed, influenced, or altered in any way in the course of mining, including processing and stockpile areas but not including roads.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“Angle of repose” </w:t>
      </w:r>
      <w:r>
        <w:rPr>
          <w:rFonts w:ascii="Times New Roman" w:hAnsi="Times New Roman"/>
          <w:b w:val="false"/>
          <w:i w:val="false"/>
          <w:color w:val="000000"/>
          <w:sz w:val="22"/>
        </w:rPr>
        <w:t>means the maximum angle of slope (measured from horizontal) at which loose cohesion materials will come to rest on a pile of similar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the state soil conservation and water quality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“Critical slope angle” </w:t>
      </w:r>
      <w:r>
        <w:rPr>
          <w:rFonts w:ascii="Times New Roman" w:hAnsi="Times New Roman"/>
          <w:b w:val="false"/>
          <w:i w:val="false"/>
          <w:color w:val="000000"/>
          <w:sz w:val="22"/>
        </w:rPr>
        <w:t>means the maximum slope incline which the soil and rock materials underlying the slope can support, without failure, under existing climate, vegetation, and land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division of soil conservation and water quality within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“Dredge operation” </w:t>
      </w:r>
      <w:r>
        <w:rPr>
          <w:rFonts w:ascii="Times New Roman" w:hAnsi="Times New Roman"/>
          <w:b w:val="false"/>
          <w:i w:val="false"/>
          <w:color w:val="000000"/>
          <w:sz w:val="22"/>
        </w:rPr>
        <w:t>means an operation to mine sand, gravel, or other nonfuel minerals for sale or for processing or consumption in the regular operation of a business by removing the product directly from its natural state beneath the surface of a river, lake or other body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“Exploration” </w:t>
      </w:r>
      <w:r>
        <w:rPr>
          <w:rFonts w:ascii="Times New Roman" w:hAnsi="Times New Roman"/>
          <w:b w:val="false"/>
          <w:i w:val="false"/>
          <w:color w:val="000000"/>
          <w:sz w:val="22"/>
        </w:rPr>
        <w:t>means the excavation of limited amounts of any mineral to determine the location, quantity, or quality of the mineral deposit.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“Highwall” </w:t>
      </w:r>
      <w:r>
        <w:rPr>
          <w:rFonts w:ascii="Times New Roman" w:hAnsi="Times New Roman"/>
          <w:b w:val="false"/>
          <w:i w:val="false"/>
          <w:color w:val="000000"/>
          <w:sz w:val="22"/>
        </w:rPr>
        <w:t>means the unexcavated face of exposed overburden and mineral in a surface 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“mine site” </w:t>
      </w:r>
      <w:r>
        <w:rPr>
          <w:rFonts w:ascii="Times New Roman" w:hAnsi="Times New Roman"/>
          <w:b w:val="false"/>
          <w:i w:val="false"/>
          <w:color w:val="000000"/>
          <w:sz w:val="22"/>
        </w:rPr>
        <w:t>means a site where mining is being conducted or has been conducted in the past.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“Mineral” </w:t>
      </w:r>
      <w:r>
        <w:rPr>
          <w:rFonts w:ascii="Times New Roman" w:hAnsi="Times New Roman"/>
          <w:b w:val="false"/>
          <w:i w:val="false"/>
          <w:color w:val="000000"/>
          <w:sz w:val="22"/>
        </w:rPr>
        <w:t>means gypsum, clay, stone, sand, gravel, or other ores or mineral solids, except coal.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“Mining” </w:t>
      </w:r>
      <w:r>
        <w:rPr>
          <w:rFonts w:ascii="Times New Roman" w:hAnsi="Times New Roman"/>
          <w:b w:val="false"/>
          <w:i w:val="false"/>
          <w:color w:val="000000"/>
          <w:sz w:val="22"/>
        </w:rPr>
        <w:t>means the excavation of gypsum, clay, stone, sand, gravel, or other ores or mineral solids, except coal, for sale or for processing or consumption in the regular operation of a business and shall include surface mining and underground mining.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“Surface mining” means mining by removing the overburden lying above the natural deposits and excavating directly from the natural deposits exposed, or by excavating directly from deposits lying exposed in their natural state, and shall include dredge operations conducted in or on natural or artificially created waterways within the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“Underground mining” means mining by digging or constructing access tunnels, adits, ramps, or shafts and excavating directly from the natural mineral deposits exposed.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“Mining operation” </w:t>
      </w:r>
      <w:r>
        <w:rPr>
          <w:rFonts w:ascii="Times New Roman" w:hAnsi="Times New Roman"/>
          <w:b w:val="false"/>
          <w:i w:val="false"/>
          <w:color w:val="000000"/>
          <w:sz w:val="22"/>
        </w:rPr>
        <w:t>means activities conducted by an operator on a mine site relative to the excavation of minerals and shall include disturbing overburden, excavation and processing of minerals, stockpiling and removal of minerals from a site, and all reclamation activities conducted on a mine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“Official notice” </w:t>
      </w:r>
      <w:r>
        <w:rPr>
          <w:rFonts w:ascii="Times New Roman" w:hAnsi="Times New Roman"/>
          <w:b w:val="false"/>
          <w:i w:val="false"/>
          <w:color w:val="000000"/>
          <w:sz w:val="22"/>
        </w:rPr>
        <w:t>means service of a written notice or order to an operator via personal service or certified mail to the last-known address. Service shall not be deemed incomplete because of refusal to accept.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“Operator” </w:t>
      </w:r>
      <w:r>
        <w:rPr>
          <w:rFonts w:ascii="Times New Roman" w:hAnsi="Times New Roman"/>
          <w:b w:val="false"/>
          <w:i w:val="false"/>
          <w:color w:val="000000"/>
          <w:sz w:val="22"/>
        </w:rPr>
        <w:t>means any person, firm, partnership, corporation, or political subdivision engaged in and controlling a mining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“Overburden” </w:t>
      </w:r>
      <w:r>
        <w:rPr>
          <w:rFonts w:ascii="Times New Roman" w:hAnsi="Times New Roman"/>
          <w:b w:val="false"/>
          <w:i w:val="false"/>
          <w:color w:val="000000"/>
          <w:sz w:val="22"/>
        </w:rPr>
        <w:t>means all of the earth and other materials which lie above natural mineral deposits and includes all earth and other materials disturbed from their natural state in the process of mining.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“Pit floor”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“quarry floor” </w:t>
      </w:r>
      <w:r>
        <w:rPr>
          <w:rFonts w:ascii="Times New Roman" w:hAnsi="Times New Roman"/>
          <w:b w:val="false"/>
          <w:i w:val="false"/>
          <w:color w:val="000000"/>
          <w:sz w:val="22"/>
        </w:rPr>
        <w:t>means the lower limit of a surface excavation to extract minerals.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“Political subdivision” </w:t>
      </w:r>
      <w:r>
        <w:rPr>
          <w:rFonts w:ascii="Times New Roman" w:hAnsi="Times New Roman"/>
          <w:b w:val="false"/>
          <w:i w:val="false"/>
          <w:color w:val="000000"/>
          <w:sz w:val="22"/>
        </w:rPr>
        <w:t>means any county, district, city, or other public agency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“Reclamation” </w:t>
      </w:r>
      <w:r>
        <w:rPr>
          <w:rFonts w:ascii="Times New Roman" w:hAnsi="Times New Roman"/>
          <w:b w:val="false"/>
          <w:i w:val="false"/>
          <w:color w:val="000000"/>
          <w:sz w:val="22"/>
        </w:rPr>
        <w:t>means the process of restoring disturbed lands to the premined uses of the lands or other productive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site” </w:t>
      </w:r>
      <w:r>
        <w:rPr>
          <w:rFonts w:ascii="Times New Roman" w:hAnsi="Times New Roman"/>
          <w:b w:val="false"/>
          <w:i w:val="false"/>
          <w:color w:val="000000"/>
          <w:sz w:val="22"/>
        </w:rPr>
        <w:t xml:space="preserve">means a site which meets the requirements of Iowa Code section </w:t>
      </w:r>
      <w:hyperlink r:id="rId6">
        <w:r>
          <w:rPr>
            <w:rStyle w:val="Hyperlink"/>
            <w:rFonts w:ascii="Times New Roman" w:hAnsi="Times New Roman"/>
            <w:b w:val="false"/>
            <w:i w:val="false"/>
            <w:color w:val="000000"/>
            <w:sz w:val="22"/>
          </w:rPr>
          <w:t>208.13</w:t>
        </w:r>
      </w:hyperlink>
      <w:r>
        <w:rPr>
          <w:rFonts w:ascii="Times New Roman" w:hAnsi="Times New Roman"/>
          <w:b w:val="false"/>
          <w:i w:val="false"/>
          <w:color w:val="000000"/>
          <w:sz w:val="22"/>
        </w:rPr>
        <w:t xml:space="preserve"> and for which the operator has received a valid registration certificate from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“Topsoil” </w:t>
      </w:r>
      <w:r>
        <w:rPr>
          <w:rFonts w:ascii="Times New Roman" w:hAnsi="Times New Roman"/>
          <w:b w:val="false"/>
          <w:i w:val="false"/>
          <w:color w:val="000000"/>
          <w:sz w:val="22"/>
        </w:rPr>
        <w:t>means the natural medium located at the surface of the land which contains favorable characteristics for the growth of vegetation.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27—60.13</w:t>
      </w:r>
      <w:r>
        <w:rPr>
          <w:rFonts w:ascii="Times New Roman" w:hAnsi="Times New Roman"/>
          <w:b w:val="false"/>
          <w:i w:val="false"/>
          <w:color w:val="000000"/>
          <w:sz w:val="22"/>
        </w:rPr>
        <w:t xml:space="preserve"> to </w:t>
      </w:r>
      <w:r>
        <w:rPr>
          <w:rFonts w:ascii="Times New Roman" w:hAnsi="Times New Roman"/>
          <w:b/>
          <w:i w:val="false"/>
          <w:color w:val="000000"/>
          <w:sz w:val="22"/>
        </w:rPr>
        <w:t>60.19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27—60.20</w:t>
      </w:r>
      <w:r>
        <w:rPr>
          <w:rFonts w:ascii="Times New Roman" w:hAnsi="Times New Roman"/>
          <w:b/>
          <w:i w:val="false"/>
          <w:color w:val="000000"/>
          <w:sz w:val="22"/>
        </w:rPr>
        <w:t xml:space="preserve">(208) </w:t>
      </w:r>
      <w:r>
        <w:rPr>
          <w:rFonts w:ascii="Times New Roman" w:hAnsi="Times New Roman"/>
          <w:b/>
          <w:i w:val="false"/>
          <w:color w:val="000000"/>
          <w:sz w:val="22"/>
        </w:rPr>
        <w:t xml:space="preserve">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60.20(1)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mining license. </w:t>
      </w:r>
      <w:r>
        <w:rPr>
          <w:rFonts w:ascii="Times New Roman" w:hAnsi="Times New Roman"/>
          <w:b w:val="false"/>
          <w:i w:val="false"/>
          <w:color w:val="000000"/>
          <w:sz w:val="22"/>
        </w:rPr>
        <w:t>All operators wanting to mine minerals in Iowa shall apply for a mining license. The application shall be complete only if submitted on the form supplied by the division, signed by the operator or an authorized representative, and accompanied by a license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60.20(2)</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Licensing and license renewal fees are established by Iowa Code section </w:t>
      </w:r>
      <w:hyperlink r:id="rId7">
        <w:r>
          <w:rPr>
            <w:rStyle w:val="Hyperlink"/>
            <w:rFonts w:ascii="Times New Roman" w:hAnsi="Times New Roman"/>
            <w:b w:val="false"/>
            <w:i w:val="false"/>
            <w:color w:val="000000"/>
            <w:sz w:val="22"/>
          </w:rPr>
          <w:t>208.7</w:t>
        </w:r>
      </w:hyperlink>
      <w:r>
        <w:rPr>
          <w:rFonts w:ascii="Times New Roman" w:hAnsi="Times New Roman"/>
          <w:b w:val="false"/>
          <w:i w:val="false"/>
          <w:color w:val="000000"/>
          <w:sz w:val="22"/>
        </w:rPr>
        <w:t xml:space="preserve"> at $50 for an initial license and $20 for a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60.20(3)</w:t>
      </w:r>
      <w:r>
        <w:rPr>
          <w:rFonts w:ascii="Times New Roman" w:hAnsi="Times New Roman"/>
          <w:b w:val="false"/>
          <w:i w:val="false"/>
          <w:color w:val="000000"/>
          <w:sz w:val="22"/>
        </w:rPr>
        <w:t> </w:t>
      </w:r>
      <w:r>
        <w:rPr>
          <w:rFonts w:ascii="Times New Roman" w:hAnsi="Times New Roman"/>
          <w:b w:val="false"/>
          <w:i/>
          <w:color w:val="000000"/>
          <w:sz w:val="22"/>
        </w:rPr>
        <w:t xml:space="preserve">License term and expiration. </w:t>
      </w:r>
      <w:r>
        <w:rPr>
          <w:rFonts w:ascii="Times New Roman" w:hAnsi="Times New Roman"/>
          <w:b w:val="false"/>
          <w:i w:val="false"/>
          <w:color w:val="000000"/>
          <w:sz w:val="22"/>
        </w:rPr>
        <w:t>A license shall be maintained by the operator until all sites have been properly reclaimed or transferred to another licensed operator.</w:t>
      </w:r>
    </w:p>
    <w:p>
      <w:pPr>
        <w:spacing w:before="0" w:after="0"/>
        <w:ind w:left="120"/>
        <w:jc w:val="both"/>
      </w:pPr>
      <w:r>
        <w:rPr>
          <w:rFonts w:ascii="Times New Roman" w:hAnsi="Times New Roman"/>
          <w:b w:val="false"/>
          <w:i w:val="false"/>
          <w:color w:val="000000"/>
          <w:sz w:val="22"/>
        </w:rPr>
        <w:t>The initial license shall expire on December 31 of the year in which the license was obtained. A license for renewal shall expire on December 31 of the second year in which the license was issued. Any applications for renewal received within 30 days of the expiration date shall be accepted as renewals for the previous license. New licenses obtained after November 1 shall remain valid for a period to include the next calendar year or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60.20(4)</w:t>
      </w:r>
      <w:r>
        <w:rPr>
          <w:rFonts w:ascii="Times New Roman" w:hAnsi="Times New Roman"/>
          <w:b w:val="false"/>
          <w:i w:val="false"/>
          <w:color w:val="000000"/>
          <w:sz w:val="22"/>
        </w:rPr>
        <w:t> </w:t>
      </w:r>
      <w:r>
        <w:rPr>
          <w:rFonts w:ascii="Times New Roman" w:hAnsi="Times New Roman"/>
          <w:b w:val="false"/>
          <w:i/>
          <w:color w:val="000000"/>
          <w:sz w:val="22"/>
        </w:rPr>
        <w:t xml:space="preserve">License renewal. </w:t>
      </w:r>
      <w:r>
        <w:rPr>
          <w:rFonts w:ascii="Times New Roman" w:hAnsi="Times New Roman"/>
          <w:b w:val="false"/>
          <w:i w:val="false"/>
          <w:color w:val="000000"/>
          <w:sz w:val="22"/>
        </w:rPr>
        <w:t xml:space="preserve">Any operator who fails to renew the mining license within the 30-day period following the expiration deadline established in subrule </w:t>
      </w:r>
      <w:hyperlink r:id="rId8">
        <w:r>
          <w:rPr>
            <w:rStyle w:val="Hyperlink"/>
            <w:rFonts w:ascii="Times New Roman" w:hAnsi="Times New Roman"/>
            <w:b w:val="false"/>
            <w:i w:val="false"/>
            <w:color w:val="000000"/>
            <w:sz w:val="22"/>
          </w:rPr>
          <w:t>60.20(3)</w:t>
        </w:r>
      </w:hyperlink>
      <w:r>
        <w:rPr>
          <w:rFonts w:ascii="Times New Roman" w:hAnsi="Times New Roman"/>
          <w:b w:val="false"/>
          <w:i w:val="false"/>
          <w:color w:val="000000"/>
          <w:sz w:val="22"/>
        </w:rPr>
        <w:t xml:space="preserve"> will be required to apply for an initial license. Failure to renew a license within 30 days after official notice will invalidate all registrations.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60.20(5)</w:t>
      </w:r>
      <w:r>
        <w:rPr>
          <w:rFonts w:ascii="Times New Roman" w:hAnsi="Times New Roman"/>
          <w:b w:val="false"/>
          <w:i w:val="false"/>
          <w:color w:val="000000"/>
          <w:sz w:val="22"/>
        </w:rPr>
        <w:t> </w:t>
      </w:r>
      <w:r>
        <w:rPr>
          <w:rFonts w:ascii="Times New Roman" w:hAnsi="Times New Roman"/>
          <w:b w:val="false"/>
          <w:i/>
          <w:color w:val="000000"/>
          <w:sz w:val="22"/>
        </w:rPr>
        <w:t xml:space="preserve">Valid license. </w:t>
      </w:r>
      <w:r>
        <w:rPr>
          <w:rFonts w:ascii="Times New Roman" w:hAnsi="Times New Roman"/>
          <w:b w:val="false"/>
          <w:i w:val="false"/>
          <w:color w:val="000000"/>
          <w:sz w:val="22"/>
        </w:rPr>
        <w:t>A license to mine is valid only if approved by the division and acknowledged by a license certificate which has been signed by the administrator and lists the operator and the assigned license number.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27—60.21</w:t>
      </w:r>
      <w:r>
        <w:rPr>
          <w:rFonts w:ascii="Times New Roman" w:hAnsi="Times New Roman"/>
          <w:b w:val="false"/>
          <w:i w:val="false"/>
          <w:color w:val="000000"/>
          <w:sz w:val="22"/>
        </w:rPr>
        <w:t xml:space="preserve"> to </w:t>
      </w:r>
      <w:r>
        <w:rPr>
          <w:rFonts w:ascii="Times New Roman" w:hAnsi="Times New Roman"/>
          <w:b/>
          <w:i w:val="false"/>
          <w:color w:val="000000"/>
          <w:sz w:val="22"/>
        </w:rPr>
        <w:t>60.29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27—60.30</w:t>
      </w:r>
      <w:r>
        <w:rPr>
          <w:rFonts w:ascii="Times New Roman" w:hAnsi="Times New Roman"/>
          <w:b/>
          <w:i w:val="false"/>
          <w:color w:val="000000"/>
          <w:sz w:val="22"/>
        </w:rPr>
        <w:t xml:space="preserve">(208) </w:t>
      </w:r>
      <w:r>
        <w:rPr>
          <w:rFonts w:ascii="Times New Roman" w:hAnsi="Times New Roman"/>
          <w:b/>
          <w:i w:val="false"/>
          <w:color w:val="000000"/>
          <w:sz w:val="22"/>
        </w:rPr>
        <w:t xml:space="preserv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60.30(1)</w:t>
      </w:r>
      <w:r>
        <w:rPr>
          <w:rFonts w:ascii="Times New Roman" w:hAnsi="Times New Roman"/>
          <w:b w:val="false"/>
          <w:i w:val="false"/>
          <w:color w:val="000000"/>
          <w:sz w:val="22"/>
        </w:rPr>
        <w:t> </w:t>
      </w:r>
      <w:r>
        <w:rPr>
          <w:rFonts w:ascii="Times New Roman" w:hAnsi="Times New Roman"/>
          <w:b w:val="false"/>
          <w:i/>
          <w:color w:val="000000"/>
          <w:sz w:val="22"/>
        </w:rPr>
        <w:t xml:space="preserve">Registration required. </w:t>
      </w:r>
      <w:r>
        <w:rPr>
          <w:rFonts w:ascii="Times New Roman" w:hAnsi="Times New Roman"/>
          <w:b w:val="false"/>
          <w:i w:val="false"/>
          <w:color w:val="000000"/>
          <w:sz w:val="22"/>
        </w:rPr>
        <w:t>All mine sites shall be registered at least seven days prior to the beginning of mining or the removal of overburden. Exploration activities are exempt from registration requirements unless they affect more than 10,000 square feet of surface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60.30(2)</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The registration application fee shall be $50 per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60.30(3)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registration. </w:t>
      </w:r>
      <w:r>
        <w:rPr>
          <w:rFonts w:ascii="Times New Roman" w:hAnsi="Times New Roman"/>
          <w:b w:val="false"/>
          <w:i w:val="false"/>
          <w:color w:val="000000"/>
          <w:sz w:val="22"/>
        </w:rPr>
        <w:t>An application for registration shall be acceptable only if completed on the form provided by the division and signed by the operator or an authorized representative and accompanied by a bond or bond increase, a map of the area to be mined, and the registration fee. The completed registration application, registration fee, map, and the bond or bond increase shall be received at least seven days prior to the removal of overburden.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60.30(4)</w:t>
      </w:r>
      <w:r>
        <w:rPr>
          <w:rFonts w:ascii="Times New Roman" w:hAnsi="Times New Roman"/>
          <w:b w:val="false"/>
          <w:i w:val="false"/>
          <w:color w:val="000000"/>
          <w:sz w:val="22"/>
        </w:rPr>
        <w:t> </w:t>
      </w:r>
      <w:r>
        <w:rPr>
          <w:rFonts w:ascii="Times New Roman" w:hAnsi="Times New Roman"/>
          <w:b w:val="false"/>
          <w:i/>
          <w:color w:val="000000"/>
          <w:sz w:val="22"/>
        </w:rPr>
        <w:t xml:space="preserve">Valid registration. </w:t>
      </w:r>
      <w:r>
        <w:rPr>
          <w:rFonts w:ascii="Times New Roman" w:hAnsi="Times New Roman"/>
          <w:b w:val="false"/>
          <w:i w:val="false"/>
          <w:color w:val="000000"/>
          <w:sz w:val="22"/>
        </w:rPr>
        <w:t>A registration is valid only if approved by the division and acknowledged by a registration certificate signed by the division administrator, listing site name, location, and operator to which the site is registered.</w:t>
      </w:r>
    </w:p>
    <w:p>
      <w:pPr>
        <w:spacing w:before="0" w:after="0"/>
        <w:ind w:left="120"/>
        <w:jc w:val="both"/>
      </w:pPr>
      <w:r>
        <w:rPr>
          <w:rFonts w:ascii="Times New Roman" w:hAnsi="Times New Roman"/>
          <w:b w:val="false"/>
          <w:i w:val="false"/>
          <w:color w:val="000000"/>
          <w:sz w:val="22"/>
        </w:rPr>
        <w:t>Failure to fulfill the requirements of this rule or chapter may result in the invalidation of a site registration following notification to the operator by the division.</w:t>
      </w:r>
    </w:p>
    <w:p>
      <w:pPr>
        <w:spacing w:before="0" w:after="0"/>
        <w:ind w:left="120"/>
        <w:jc w:val="both"/>
      </w:pPr>
      <w:r>
        <w:rPr>
          <w:rFonts w:ascii="Times New Roman" w:hAnsi="Times New Roman"/>
          <w:b w:val="false"/>
          <w:i w:val="false"/>
          <w:color w:val="000000"/>
          <w:sz w:val="22"/>
        </w:rPr>
        <w:t>The division may request additional information or materials to further distinguish a site from other sites.</w:t>
      </w:r>
    </w:p>
    <w:p>
      <w:pPr>
        <w:spacing w:before="0" w:after="0"/>
        <w:ind w:left="120"/>
        <w:jc w:val="both"/>
      </w:pPr>
      <w:r>
        <w:rPr>
          <w:rFonts w:ascii="Times New Roman" w:hAnsi="Times New Roman"/>
          <w:b w:val="false"/>
          <w:i w:val="false"/>
          <w:color w:val="000000"/>
          <w:sz w:val="22"/>
        </w:rPr>
        <w:t>A single registration shall consist of contiguous describable tracts of land which can be enclosed by a single unbroken boundary line and including only that property upon which the operator has a legal right to conduct mining.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60.30(5)</w:t>
      </w:r>
      <w:r>
        <w:rPr>
          <w:rFonts w:ascii="Times New Roman" w:hAnsi="Times New Roman"/>
          <w:b w:val="false"/>
          <w:i w:val="false"/>
          <w:color w:val="000000"/>
          <w:sz w:val="22"/>
        </w:rPr>
        <w:t> </w:t>
      </w:r>
      <w:r>
        <w:rPr>
          <w:rFonts w:ascii="Times New Roman" w:hAnsi="Times New Roman"/>
          <w:b w:val="false"/>
          <w:i/>
          <w:color w:val="000000"/>
          <w:sz w:val="22"/>
        </w:rPr>
        <w:t xml:space="preserve">Registration conflicts. </w:t>
      </w:r>
      <w:r>
        <w:rPr>
          <w:rFonts w:ascii="Times New Roman" w:hAnsi="Times New Roman"/>
          <w:b w:val="false"/>
          <w:i w:val="false"/>
          <w:color w:val="000000"/>
          <w:sz w:val="22"/>
        </w:rPr>
        <w:t>If more than one operator is extracting minerals from a given contiguous site within the same time frame, then each operator shall file with the division a statement signed by the operator, including a map defining the scope of operations and bond responsibility of each operator in regard to the final reclamation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60.30(6)</w:t>
      </w:r>
      <w:r>
        <w:rPr>
          <w:rFonts w:ascii="Times New Roman" w:hAnsi="Times New Roman"/>
          <w:b w:val="false"/>
          <w:i w:val="false"/>
          <w:color w:val="000000"/>
          <w:sz w:val="22"/>
        </w:rPr>
        <w:t> </w:t>
      </w:r>
      <w:r>
        <w:rPr>
          <w:rFonts w:ascii="Times New Roman" w:hAnsi="Times New Roman"/>
          <w:b w:val="false"/>
          <w:i/>
          <w:color w:val="000000"/>
          <w:sz w:val="22"/>
        </w:rPr>
        <w:t xml:space="preserve">Registration information. </w:t>
      </w:r>
      <w:r>
        <w:rPr>
          <w:rFonts w:ascii="Times New Roman" w:hAnsi="Times New Roman"/>
          <w:b w:val="false"/>
          <w:i w:val="false"/>
          <w:color w:val="000000"/>
          <w:sz w:val="22"/>
        </w:rPr>
        <w:t>It shall be the responsibility of the operator to ensure that all information in connection with the application for registration and the registration certificate is correct.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60.30(7)</w:t>
      </w:r>
      <w:r>
        <w:rPr>
          <w:rFonts w:ascii="Times New Roman" w:hAnsi="Times New Roman"/>
          <w:b w:val="false"/>
          <w:i w:val="false"/>
          <w:color w:val="000000"/>
          <w:sz w:val="22"/>
        </w:rPr>
        <w:t> </w:t>
      </w:r>
      <w:r>
        <w:rPr>
          <w:rFonts w:ascii="Times New Roman" w:hAnsi="Times New Roman"/>
          <w:b w:val="false"/>
          <w:i/>
          <w:color w:val="000000"/>
          <w:sz w:val="22"/>
        </w:rPr>
        <w:t xml:space="preserve">Registration exclusion. </w:t>
      </w:r>
      <w:r>
        <w:rPr>
          <w:rFonts w:ascii="Times New Roman" w:hAnsi="Times New Roman"/>
          <w:b w:val="false"/>
          <w:i w:val="false"/>
          <w:color w:val="000000"/>
          <w:sz w:val="22"/>
        </w:rPr>
        <w:t xml:space="preserve">No site or portion thereof will be released by exclusion from registration under subrules </w:t>
      </w:r>
      <w:hyperlink r:id="rId9">
        <w:r>
          <w:rPr>
            <w:rStyle w:val="Hyperlink"/>
            <w:rFonts w:ascii="Times New Roman" w:hAnsi="Times New Roman"/>
            <w:b w:val="false"/>
            <w:i w:val="false"/>
            <w:color w:val="000000"/>
            <w:sz w:val="22"/>
          </w:rPr>
          <w:t>60.30(1)</w:t>
        </w:r>
      </w:hyperlink>
      <w:r>
        <w:rPr>
          <w:rFonts w:ascii="Times New Roman" w:hAnsi="Times New Roman"/>
          <w:b w:val="false"/>
          <w:i w:val="false"/>
          <w:color w:val="000000"/>
          <w:sz w:val="22"/>
        </w:rPr>
        <w:t xml:space="preserve"> to </w:t>
      </w:r>
      <w:hyperlink r:id="rId10">
        <w:r>
          <w:rPr>
            <w:rStyle w:val="Hyperlink"/>
            <w:rFonts w:ascii="Times New Roman" w:hAnsi="Times New Roman"/>
            <w:b w:val="false"/>
            <w:i w:val="false"/>
            <w:color w:val="000000"/>
            <w:sz w:val="22"/>
          </w:rPr>
          <w:t>60.30(6)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60.30(8)</w:t>
      </w:r>
      <w:r>
        <w:rPr>
          <w:rFonts w:ascii="Times New Roman" w:hAnsi="Times New Roman"/>
          <w:b w:val="false"/>
          <w:i w:val="false"/>
          <w:color w:val="000000"/>
          <w:sz w:val="22"/>
        </w:rPr>
        <w:t> </w:t>
      </w:r>
      <w:r>
        <w:rPr>
          <w:rFonts w:ascii="Times New Roman" w:hAnsi="Times New Roman"/>
          <w:b w:val="false"/>
          <w:i/>
          <w:color w:val="000000"/>
          <w:sz w:val="22"/>
        </w:rPr>
        <w:t xml:space="preserve">Sign. </w:t>
      </w:r>
      <w:r>
        <w:rPr>
          <w:rFonts w:ascii="Times New Roman" w:hAnsi="Times New Roman"/>
          <w:b w:val="false"/>
          <w:i w:val="false"/>
          <w:color w:val="000000"/>
          <w:sz w:val="22"/>
        </w:rPr>
        <w:t xml:space="preserve">Any signs required by other governmental bodies may be used to comply with Iowa Code section </w:t>
      </w:r>
      <w:hyperlink r:id="rId11">
        <w:r>
          <w:rPr>
            <w:rStyle w:val="Hyperlink"/>
            <w:rFonts w:ascii="Times New Roman" w:hAnsi="Times New Roman"/>
            <w:b w:val="false"/>
            <w:i w:val="false"/>
            <w:color w:val="000000"/>
            <w:sz w:val="22"/>
          </w:rPr>
          <w:t>208.9(2)</w:t>
        </w:r>
      </w:hyperlink>
      <w:r>
        <w:rPr>
          <w:rFonts w:ascii="Times New Roman" w:hAnsi="Times New Roman"/>
          <w:b w:val="false"/>
          <w:i w:val="false"/>
          <w:color w:val="000000"/>
          <w:sz w:val="22"/>
        </w:rPr>
        <w:t xml:space="preserve"> provided that the sign is posted at the main entrance of the site or at the scale house, if the scale house is visible from the nearest roadway, and includes the operator’s name, telephone number, and the site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60.30(9)</w:t>
      </w:r>
      <w:r>
        <w:rPr>
          <w:rFonts w:ascii="Times New Roman" w:hAnsi="Times New Roman"/>
          <w:b w:val="false"/>
          <w:i w:val="false"/>
          <w:color w:val="000000"/>
          <w:sz w:val="22"/>
        </w:rPr>
        <w:t> </w:t>
      </w:r>
      <w:r>
        <w:rPr>
          <w:rFonts w:ascii="Times New Roman" w:hAnsi="Times New Roman"/>
          <w:b w:val="false"/>
          <w:i/>
          <w:color w:val="000000"/>
          <w:sz w:val="22"/>
        </w:rPr>
        <w:t xml:space="preserve">Duration of registration. </w:t>
      </w:r>
      <w:r>
        <w:rPr>
          <w:rFonts w:ascii="Times New Roman" w:hAnsi="Times New Roman"/>
          <w:b w:val="false"/>
          <w:i w:val="false"/>
          <w:color w:val="000000"/>
          <w:sz w:val="22"/>
        </w:rPr>
        <w:t>A valid registration shall be maintained by the operator until approval for release has been granted by the division.</w:t>
      </w:r>
    </w:p>
    <w:p>
      <w:pPr>
        <w:spacing w:before="0" w:after="0"/>
        <w:ind w:left="120"/>
        <w:jc w:val="both"/>
      </w:pPr>
      <w:r>
        <w:rPr>
          <w:rFonts w:ascii="Times New Roman" w:hAnsi="Times New Roman"/>
          <w:b/>
          <w:i w:val="false"/>
          <w:color w:val="000000"/>
          <w:sz w:val="22"/>
        </w:rPr>
        <w:t>27—60.31</w:t>
      </w:r>
      <w:r>
        <w:rPr>
          <w:rFonts w:ascii="Times New Roman" w:hAnsi="Times New Roman"/>
          <w:b/>
          <w:i w:val="false"/>
          <w:color w:val="000000"/>
          <w:sz w:val="22"/>
        </w:rPr>
        <w:t xml:space="preserve">(208) </w:t>
      </w:r>
      <w:r>
        <w:rPr>
          <w:rFonts w:ascii="Times New Roman" w:hAnsi="Times New Roman"/>
          <w:b/>
          <w:i w:val="false"/>
          <w:color w:val="000000"/>
          <w:sz w:val="22"/>
        </w:rPr>
        <w:t xml:space="preserve">Registration renewal and fee.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60.31(1)</w:t>
      </w:r>
      <w:r>
        <w:rPr>
          <w:rFonts w:ascii="Times New Roman" w:hAnsi="Times New Roman"/>
          <w:b w:val="false"/>
          <w:i w:val="false"/>
          <w:color w:val="000000"/>
          <w:sz w:val="22"/>
        </w:rPr>
        <w:t> </w:t>
      </w:r>
      <w:r>
        <w:rPr>
          <w:rFonts w:ascii="Times New Roman" w:hAnsi="Times New Roman"/>
          <w:b w:val="false"/>
          <w:i/>
          <w:color w:val="000000"/>
          <w:sz w:val="22"/>
        </w:rPr>
        <w:t xml:space="preserve">Registration renewal. </w:t>
      </w:r>
      <w:r>
        <w:rPr>
          <w:rFonts w:ascii="Times New Roman" w:hAnsi="Times New Roman"/>
          <w:b w:val="false"/>
          <w:i w:val="false"/>
          <w:color w:val="000000"/>
          <w:sz w:val="22"/>
        </w:rPr>
        <w:t>All site registrations shall expire on December 31 of the second year. Registrations shall be renewed by the division upon submittal of renewal fee by the operator within 30 days of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60.31(2)</w:t>
      </w:r>
      <w:r>
        <w:rPr>
          <w:rFonts w:ascii="Times New Roman" w:hAnsi="Times New Roman"/>
          <w:b w:val="false"/>
          <w:i w:val="false"/>
          <w:color w:val="000000"/>
          <w:sz w:val="22"/>
        </w:rPr>
        <w:t> </w:t>
      </w:r>
      <w:r>
        <w:rPr>
          <w:rFonts w:ascii="Times New Roman" w:hAnsi="Times New Roman"/>
          <w:b w:val="false"/>
          <w:i/>
          <w:color w:val="000000"/>
          <w:sz w:val="22"/>
        </w:rPr>
        <w:t xml:space="preserve">Notice of registration renewal and fee. </w:t>
      </w:r>
      <w:r>
        <w:rPr>
          <w:rFonts w:ascii="Times New Roman" w:hAnsi="Times New Roman"/>
          <w:b w:val="false"/>
          <w:i w:val="false"/>
          <w:color w:val="000000"/>
          <w:sz w:val="22"/>
        </w:rPr>
        <w:t>All registrations shall be renewed by the operator upon receipt of a fee statement from the division.</w:t>
      </w:r>
    </w:p>
    <w:p>
      <w:pPr>
        <w:spacing w:before="0" w:after="0"/>
        <w:ind w:left="120"/>
        <w:jc w:val="both"/>
      </w:pPr>
      <w:r>
        <w:rPr>
          <w:rFonts w:ascii="Times New Roman" w:hAnsi="Times New Roman"/>
          <w:b w:val="false"/>
          <w:i w:val="false"/>
          <w:color w:val="000000"/>
          <w:sz w:val="22"/>
        </w:rPr>
        <w:t>The registration renewal fee shall be $70 per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60.31(3)</w:t>
      </w:r>
      <w:r>
        <w:rPr>
          <w:rFonts w:ascii="Times New Roman" w:hAnsi="Times New Roman"/>
          <w:b w:val="false"/>
          <w:i w:val="false"/>
          <w:color w:val="000000"/>
          <w:sz w:val="22"/>
        </w:rPr>
        <w:t> </w:t>
      </w:r>
      <w:r>
        <w:rPr>
          <w:rFonts w:ascii="Times New Roman" w:hAnsi="Times New Roman"/>
          <w:b w:val="false"/>
          <w:i/>
          <w:color w:val="000000"/>
          <w:sz w:val="22"/>
        </w:rPr>
        <w:t xml:space="preserve">Changes in a registration. </w:t>
      </w:r>
      <w:r>
        <w:rPr>
          <w:rFonts w:ascii="Times New Roman" w:hAnsi="Times New Roman"/>
          <w:b w:val="false"/>
          <w:i w:val="false"/>
          <w:color w:val="000000"/>
          <w:sz w:val="22"/>
        </w:rPr>
        <w:t xml:space="preserve">If, in the course of operation, any changes in the description, size or boundaries of a site become necessary the licensee shall be required to file a new registration application in accordance with rule </w:t>
      </w:r>
      <w:hyperlink r:id="rId12">
        <w:r>
          <w:rPr>
            <w:rStyle w:val="Hyperlink"/>
            <w:rFonts w:ascii="Times New Roman" w:hAnsi="Times New Roman"/>
            <w:b w:val="false"/>
            <w:i w:val="false"/>
            <w:color w:val="000000"/>
            <w:sz w:val="22"/>
          </w:rPr>
          <w:t>27—60.30</w:t>
        </w:r>
      </w:hyperlink>
      <w:r>
        <w:rPr>
          <w:rFonts w:ascii="Times New Roman" w:hAnsi="Times New Roman"/>
          <w:b w:val="false"/>
          <w:i w:val="false"/>
          <w:color w:val="000000"/>
          <w:sz w:val="22"/>
        </w:rPr>
        <w:t>(208).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3216C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27—60.32</w:t>
      </w:r>
      <w:r>
        <w:rPr>
          <w:rFonts w:ascii="Times New Roman" w:hAnsi="Times New Roman"/>
          <w:b w:val="false"/>
          <w:i w:val="false"/>
          <w:color w:val="000000"/>
          <w:sz w:val="22"/>
        </w:rPr>
        <w:t xml:space="preserve"> to </w:t>
      </w:r>
      <w:r>
        <w:rPr>
          <w:rFonts w:ascii="Times New Roman" w:hAnsi="Times New Roman"/>
          <w:b/>
          <w:i w:val="false"/>
          <w:color w:val="000000"/>
          <w:sz w:val="22"/>
        </w:rPr>
        <w:t>60.39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27—60.40</w:t>
      </w:r>
      <w:r>
        <w:rPr>
          <w:rFonts w:ascii="Times New Roman" w:hAnsi="Times New Roman"/>
          <w:b/>
          <w:i w:val="false"/>
          <w:color w:val="000000"/>
          <w:sz w:val="22"/>
        </w:rPr>
        <w:t xml:space="preserve">(208) </w:t>
      </w:r>
      <w:r>
        <w:rPr>
          <w:rFonts w:ascii="Times New Roman" w:hAnsi="Times New Roman"/>
          <w:b/>
          <w:i w:val="false"/>
          <w:color w:val="000000"/>
          <w:sz w:val="22"/>
        </w:rPr>
        <w:t xml:space="preserve">Bonding. </w:t>
      </w:r>
      <w:r>
        <w:rPr>
          <w:rFonts w:ascii="Times New Roman" w:hAnsi="Times New Roman"/>
          <w:b w:val="false"/>
          <w:i w:val="false"/>
          <w:color w:val="000000"/>
          <w:sz w:val="22"/>
        </w:rPr>
        <w:t xml:space="preserve">Bond is required by these rules and by Iowa Code chapter </w:t>
      </w:r>
      <w:hyperlink r:id="rId13">
        <w:r>
          <w:rPr>
            <w:rStyle w:val="Hyperlink"/>
            <w:rFonts w:ascii="Times New Roman" w:hAnsi="Times New Roman"/>
            <w:b w:val="false"/>
            <w:i w:val="false"/>
            <w:color w:val="000000"/>
            <w:sz w:val="22"/>
          </w:rPr>
          <w:t>208</w:t>
        </w:r>
      </w:hyperlink>
      <w:r>
        <w:rPr>
          <w:rFonts w:ascii="Times New Roman" w:hAnsi="Times New Roman"/>
          <w:b w:val="false"/>
          <w:i w:val="false"/>
          <w:color w:val="000000"/>
          <w:sz w:val="22"/>
        </w:rPr>
        <w:t xml:space="preserve"> to ensure that all applicable mineral operations are properly reclaimed. Failure on the part of an operator to accomplish required reclamation may result in forfeiture of the bond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60.40(1)</w:t>
      </w:r>
      <w:r>
        <w:rPr>
          <w:rFonts w:ascii="Times New Roman" w:hAnsi="Times New Roman"/>
          <w:b w:val="false"/>
          <w:i w:val="false"/>
          <w:color w:val="000000"/>
          <w:sz w:val="22"/>
        </w:rPr>
        <w:t> </w:t>
      </w:r>
      <w:r>
        <w:rPr>
          <w:rFonts w:ascii="Times New Roman" w:hAnsi="Times New Roman"/>
          <w:b w:val="false"/>
          <w:i/>
          <w:color w:val="000000"/>
          <w:sz w:val="22"/>
        </w:rPr>
        <w:t xml:space="preserve">Bonding requirements. </w:t>
      </w:r>
      <w:r>
        <w:rPr>
          <w:rFonts w:ascii="Times New Roman" w:hAnsi="Times New Roman"/>
          <w:b w:val="false"/>
          <w:i w:val="false"/>
          <w:color w:val="000000"/>
          <w:sz w:val="22"/>
        </w:rPr>
        <w:t xml:space="preserve">Each registration application shall be accompanied by a bond or a bond endorsement increasing an already existing bond. The bond or bond increase shall be equal to the amount set forth by a representative of the division or, if no amount is stipulated, the minimum set forth in subrule </w:t>
      </w:r>
      <w:hyperlink r:id="rId14">
        <w:r>
          <w:rPr>
            <w:rStyle w:val="Hyperlink"/>
            <w:rFonts w:ascii="Times New Roman" w:hAnsi="Times New Roman"/>
            <w:b w:val="false"/>
            <w:i w:val="false"/>
            <w:color w:val="000000"/>
            <w:sz w:val="22"/>
          </w:rPr>
          <w:t>60.40(6)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60.40(2)</w:t>
      </w:r>
      <w:r>
        <w:rPr>
          <w:rFonts w:ascii="Times New Roman" w:hAnsi="Times New Roman"/>
          <w:b w:val="false"/>
          <w:i w:val="false"/>
          <w:color w:val="000000"/>
          <w:sz w:val="22"/>
        </w:rPr>
        <w:t> </w:t>
      </w:r>
      <w:r>
        <w:rPr>
          <w:rFonts w:ascii="Times New Roman" w:hAnsi="Times New Roman"/>
          <w:b w:val="false"/>
          <w:i/>
          <w:color w:val="000000"/>
          <w:sz w:val="22"/>
        </w:rPr>
        <w:t xml:space="preserve">Bond form. </w:t>
      </w:r>
      <w:r>
        <w:rPr>
          <w:rFonts w:ascii="Times New Roman" w:hAnsi="Times New Roman"/>
          <w:b w:val="false"/>
          <w:i w:val="false"/>
          <w:color w:val="000000"/>
          <w:sz w:val="22"/>
        </w:rPr>
        <w:t xml:space="preserve">All surety bonds shall be written on the form provided and approved by the division. In lieu of a surety bond, the operator may deposit cash or certificates of deposit with the division on the same conditions as prescribed by Iowa Code section </w:t>
      </w:r>
      <w:hyperlink r:id="rId15">
        <w:r>
          <w:rPr>
            <w:rStyle w:val="Hyperlink"/>
            <w:rFonts w:ascii="Times New Roman" w:hAnsi="Times New Roman"/>
            <w:b w:val="false"/>
            <w:i w:val="false"/>
            <w:color w:val="000000"/>
            <w:sz w:val="22"/>
          </w:rPr>
          <w:t>208.23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60.40(3)</w:t>
      </w:r>
      <w:r>
        <w:rPr>
          <w:rFonts w:ascii="Times New Roman" w:hAnsi="Times New Roman"/>
          <w:b w:val="false"/>
          <w:i w:val="false"/>
          <w:color w:val="000000"/>
          <w:sz w:val="22"/>
        </w:rPr>
        <w:t> </w:t>
      </w:r>
      <w:r>
        <w:rPr>
          <w:rFonts w:ascii="Times New Roman" w:hAnsi="Times New Roman"/>
          <w:b w:val="false"/>
          <w:i/>
          <w:color w:val="000000"/>
          <w:sz w:val="22"/>
        </w:rPr>
        <w:t xml:space="preserve">Surety bond. </w:t>
      </w:r>
      <w:r>
        <w:rPr>
          <w:rFonts w:ascii="Times New Roman" w:hAnsi="Times New Roman"/>
          <w:b w:val="false"/>
          <w:i w:val="false"/>
          <w:color w:val="000000"/>
          <w:sz w:val="22"/>
        </w:rPr>
        <w:t>A surety bond shall be written by a company authorized to do business in Iowa and shall be made on a form provided by the division. A surety bond shall be signed by the operator or an authorized representative of the operator as well as a representative of the surety.</w:t>
      </w:r>
    </w:p>
    <w:p>
      <w:pPr>
        <w:spacing w:before="0" w:after="0"/>
        <w:ind w:left="120"/>
        <w:jc w:val="both"/>
      </w:pPr>
      <w:r>
        <w:rPr>
          <w:rFonts w:ascii="Times New Roman" w:hAnsi="Times New Roman"/>
          <w:b w:val="false"/>
          <w:i w:val="false"/>
          <w:color w:val="000000"/>
          <w:sz w:val="22"/>
        </w:rPr>
        <w:t xml:space="preserve">The surety bond shall be written to cover all acres affected by the mining process pursuant to Iowa Code chapter </w:t>
      </w:r>
      <w:hyperlink r:id="rId16">
        <w:r>
          <w:rPr>
            <w:rStyle w:val="Hyperlink"/>
            <w:rFonts w:ascii="Times New Roman" w:hAnsi="Times New Roman"/>
            <w:b w:val="false"/>
            <w:i w:val="false"/>
            <w:color w:val="000000"/>
            <w:sz w:val="22"/>
          </w:rPr>
          <w:t>208</w:t>
        </w:r>
      </w:hyperlink>
      <w:r>
        <w:rPr>
          <w:rFonts w:ascii="Times New Roman" w:hAnsi="Times New Roman"/>
          <w:b w:val="false"/>
          <w:i w:val="false"/>
          <w:color w:val="000000"/>
          <w:sz w:val="22"/>
        </w:rPr>
        <w:t>. An attachment shall be included as part of the bond document which lists the sites by name and location (county, township, range, section, and legal description). This attachment shall be signed by representatives of the surety and the principal.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60.40(4)</w:t>
      </w:r>
      <w:r>
        <w:rPr>
          <w:rFonts w:ascii="Times New Roman" w:hAnsi="Times New Roman"/>
          <w:b w:val="false"/>
          <w:i w:val="false"/>
          <w:color w:val="000000"/>
          <w:sz w:val="22"/>
        </w:rPr>
        <w:t> </w:t>
      </w:r>
      <w:r>
        <w:rPr>
          <w:rFonts w:ascii="Times New Roman" w:hAnsi="Times New Roman"/>
          <w:b w:val="false"/>
          <w:i/>
          <w:color w:val="000000"/>
          <w:sz w:val="22"/>
        </w:rPr>
        <w:t xml:space="preserve">Certificates of deposit. </w:t>
      </w:r>
      <w:r>
        <w:rPr>
          <w:rFonts w:ascii="Times New Roman" w:hAnsi="Times New Roman"/>
          <w:b w:val="false"/>
          <w:i w:val="false"/>
          <w:color w:val="000000"/>
          <w:sz w:val="22"/>
        </w:rPr>
        <w:t>Certificates of deposit posted as bond shall be made payable to the State of Iowa, Division of Soil Conservation and Water Quality AND (Operator). All interest earned shall be paid to the operator.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60.40(5)</w:t>
      </w:r>
      <w:r>
        <w:rPr>
          <w:rFonts w:ascii="Times New Roman" w:hAnsi="Times New Roman"/>
          <w:b w:val="false"/>
          <w:i w:val="false"/>
          <w:color w:val="000000"/>
          <w:sz w:val="22"/>
        </w:rPr>
        <w:t> </w:t>
      </w:r>
      <w:r>
        <w:rPr>
          <w:rFonts w:ascii="Times New Roman" w:hAnsi="Times New Roman"/>
          <w:b w:val="false"/>
          <w:i/>
          <w:color w:val="000000"/>
          <w:sz w:val="22"/>
        </w:rPr>
        <w:t xml:space="preserve">Cash. </w:t>
      </w:r>
      <w:r>
        <w:rPr>
          <w:rFonts w:ascii="Times New Roman" w:hAnsi="Times New Roman"/>
          <w:b w:val="false"/>
          <w:i w:val="false"/>
          <w:color w:val="000000"/>
          <w:sz w:val="22"/>
        </w:rPr>
        <w:t>Cash deposited as bond does not pay interest to the operator.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60.40(6)</w:t>
      </w:r>
      <w:r>
        <w:rPr>
          <w:rFonts w:ascii="Times New Roman" w:hAnsi="Times New Roman"/>
          <w:b w:val="false"/>
          <w:i w:val="false"/>
          <w:color w:val="000000"/>
          <w:sz w:val="22"/>
        </w:rPr>
        <w:t> </w:t>
      </w:r>
      <w:r>
        <w:rPr>
          <w:rFonts w:ascii="Times New Roman" w:hAnsi="Times New Roman"/>
          <w:b w:val="false"/>
          <w:i/>
          <w:color w:val="000000"/>
          <w:sz w:val="22"/>
        </w:rPr>
        <w:t xml:space="preserve">Minimum bond. </w:t>
      </w:r>
      <w:r>
        <w:rPr>
          <w:rFonts w:ascii="Times New Roman" w:hAnsi="Times New Roman"/>
          <w:b w:val="false"/>
          <w:i w:val="false"/>
          <w:color w:val="000000"/>
          <w:sz w:val="22"/>
        </w:rPr>
        <w:t>The minimum required bond on each site shall be the greater of $2,000 per site or $500 per affected acre on the site.</w:t>
      </w:r>
    </w:p>
    <w:p>
      <w:pPr>
        <w:spacing w:before="0" w:after="0"/>
        <w:ind w:left="120"/>
        <w:jc w:val="both"/>
      </w:pPr>
      <w:r>
        <w:rPr>
          <w:rFonts w:ascii="Times New Roman" w:hAnsi="Times New Roman"/>
          <w:b w:val="false"/>
          <w:i w:val="false"/>
          <w:color w:val="000000"/>
          <w:sz w:val="22"/>
        </w:rPr>
        <w:t>Actual bond shall be based on factors including, but not limited to, size of the site, thickness of overburden, type of mineral extracted, type of mining process, and stockpiling procedures for topsoil, overburden and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60.40(7)</w:t>
      </w:r>
      <w:r>
        <w:rPr>
          <w:rFonts w:ascii="Times New Roman" w:hAnsi="Times New Roman"/>
          <w:b w:val="false"/>
          <w:i w:val="false"/>
          <w:color w:val="000000"/>
          <w:sz w:val="22"/>
        </w:rPr>
        <w:t> </w:t>
      </w:r>
      <w:r>
        <w:rPr>
          <w:rFonts w:ascii="Times New Roman" w:hAnsi="Times New Roman"/>
          <w:b w:val="false"/>
          <w:i/>
          <w:color w:val="000000"/>
          <w:sz w:val="22"/>
        </w:rPr>
        <w:t xml:space="preserve">Interest-bearing account. </w:t>
      </w:r>
      <w:r>
        <w:rPr>
          <w:rFonts w:ascii="Times New Roman" w:hAnsi="Times New Roman"/>
          <w:b w:val="false"/>
          <w:i w:val="false"/>
          <w:color w:val="000000"/>
          <w:sz w:val="22"/>
        </w:rPr>
        <w:t xml:space="preserve">Penalties, interest, bond reversions and bond forfeitures collected under the provisions of Iowa Code chapter </w:t>
      </w:r>
      <w:hyperlink r:id="rId17">
        <w:r>
          <w:rPr>
            <w:rStyle w:val="Hyperlink"/>
            <w:rFonts w:ascii="Times New Roman" w:hAnsi="Times New Roman"/>
            <w:b w:val="false"/>
            <w:i w:val="false"/>
            <w:color w:val="000000"/>
            <w:sz w:val="22"/>
          </w:rPr>
          <w:t>208</w:t>
        </w:r>
      </w:hyperlink>
      <w:r>
        <w:rPr>
          <w:rFonts w:ascii="Times New Roman" w:hAnsi="Times New Roman"/>
          <w:b w:val="false"/>
          <w:i w:val="false"/>
          <w:color w:val="000000"/>
          <w:sz w:val="22"/>
        </w:rPr>
        <w:t xml:space="preserve"> or these rules shall be deposited in an interest-bearing account and may be used for the cost and administrative expense of reclamation or rehabilitation activities for any mine site as deemed necessary and appropriate by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27—60.41</w:t>
      </w:r>
      <w:r>
        <w:rPr>
          <w:rFonts w:ascii="Times New Roman" w:hAnsi="Times New Roman"/>
          <w:b/>
          <w:i w:val="false"/>
          <w:color w:val="000000"/>
          <w:sz w:val="22"/>
        </w:rPr>
        <w:t xml:space="preserve">(208) </w:t>
      </w:r>
      <w:r>
        <w:rPr>
          <w:rFonts w:ascii="Times New Roman" w:hAnsi="Times New Roman"/>
          <w:b/>
          <w:i w:val="false"/>
          <w:color w:val="000000"/>
          <w:sz w:val="22"/>
        </w:rPr>
        <w:t xml:space="preserve">Bond release.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60.41(1)</w:t>
      </w:r>
      <w:r>
        <w:rPr>
          <w:rFonts w:ascii="Times New Roman" w:hAnsi="Times New Roman"/>
          <w:b w:val="false"/>
          <w:i w:val="false"/>
          <w:color w:val="000000"/>
          <w:sz w:val="22"/>
        </w:rPr>
        <w:t> </w:t>
      </w:r>
      <w:r>
        <w:rPr>
          <w:rFonts w:ascii="Times New Roman" w:hAnsi="Times New Roman"/>
          <w:b w:val="false"/>
          <w:i/>
          <w:color w:val="000000"/>
          <w:sz w:val="22"/>
        </w:rPr>
        <w:t xml:space="preserve">Release of bond. </w:t>
      </w:r>
      <w:r>
        <w:rPr>
          <w:rFonts w:ascii="Times New Roman" w:hAnsi="Times New Roman"/>
          <w:b w:val="false"/>
          <w:i w:val="false"/>
          <w:color w:val="000000"/>
          <w:sz w:val="22"/>
        </w:rPr>
        <w:t xml:space="preserve">No bond shall be released unless the bonded area has met reclamation requirements of Iowa Code section </w:t>
      </w:r>
      <w:hyperlink r:id="rId18">
        <w:r>
          <w:rPr>
            <w:rStyle w:val="Hyperlink"/>
            <w:rFonts w:ascii="Times New Roman" w:hAnsi="Times New Roman"/>
            <w:b w:val="false"/>
            <w:i w:val="false"/>
            <w:color w:val="000000"/>
            <w:sz w:val="22"/>
          </w:rPr>
          <w:t>208.17</w:t>
        </w:r>
      </w:hyperlink>
      <w:r>
        <w:rPr>
          <w:rFonts w:ascii="Times New Roman" w:hAnsi="Times New Roman"/>
          <w:b w:val="false"/>
          <w:i w:val="false"/>
          <w:color w:val="000000"/>
          <w:sz w:val="22"/>
        </w:rPr>
        <w:t>, a replacement bond has been filed, or the site has been registered by another licensed operator who agrees, in writing, to complete all remaining required reclamation and has a valid registration for the site(s)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60.41(2)</w:t>
      </w:r>
      <w:r>
        <w:rPr>
          <w:rFonts w:ascii="Times New Roman" w:hAnsi="Times New Roman"/>
          <w:b w:val="false"/>
          <w:i w:val="false"/>
          <w:color w:val="000000"/>
          <w:sz w:val="22"/>
        </w:rPr>
        <w:t> </w:t>
      </w:r>
      <w:r>
        <w:rPr>
          <w:rFonts w:ascii="Times New Roman" w:hAnsi="Times New Roman"/>
          <w:b w:val="false"/>
          <w:i/>
          <w:color w:val="000000"/>
          <w:sz w:val="22"/>
        </w:rPr>
        <w:t xml:space="preserve">Bond release request. </w:t>
      </w:r>
      <w:r>
        <w:rPr>
          <w:rFonts w:ascii="Times New Roman" w:hAnsi="Times New Roman"/>
          <w:b w:val="false"/>
          <w:i w:val="false"/>
          <w:color w:val="000000"/>
          <w:sz w:val="22"/>
        </w:rPr>
        <w:t>When a bond needs to be decreased, replaced, or is no longer needed, a Request for Bond Release form shall be filed by the operator, a registered agent, or an authorized representative. One Request for Bond Release form shall be filed for each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60.41(3)</w:t>
      </w:r>
      <w:r>
        <w:rPr>
          <w:rFonts w:ascii="Times New Roman" w:hAnsi="Times New Roman"/>
          <w:b w:val="false"/>
          <w:i w:val="false"/>
          <w:color w:val="000000"/>
          <w:sz w:val="22"/>
        </w:rPr>
        <w:t> </w:t>
      </w:r>
      <w:r>
        <w:rPr>
          <w:rFonts w:ascii="Times New Roman" w:hAnsi="Times New Roman"/>
          <w:b w:val="false"/>
          <w:i/>
          <w:color w:val="000000"/>
          <w:sz w:val="22"/>
        </w:rPr>
        <w:t xml:space="preserve">Return of bond. </w:t>
      </w:r>
      <w:r>
        <w:rPr>
          <w:rFonts w:ascii="Times New Roman" w:hAnsi="Times New Roman"/>
          <w:b w:val="false"/>
          <w:i w:val="false"/>
          <w:color w:val="000000"/>
          <w:sz w:val="22"/>
        </w:rPr>
        <w:t>Upon release of a certificate of deposit or cash posted as bond, the certificate of deposit or cash payment shall be returned to the operator.</w:t>
      </w:r>
    </w:p>
    <w:p>
      <w:pPr>
        <w:spacing w:before="0" w:after="0"/>
        <w:ind w:left="120"/>
        <w:jc w:val="both"/>
      </w:pPr>
      <w:r>
        <w:rPr>
          <w:rFonts w:ascii="Times New Roman" w:hAnsi="Times New Roman"/>
          <w:b w:val="false"/>
          <w:i w:val="false"/>
          <w:color w:val="000000"/>
          <w:sz w:val="22"/>
        </w:rPr>
        <w:t>Upon the release of a surety bond, the original bond shall be returned to the surety company and the operator shall be notified of the action by the mailing of a courtesy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60.41(4)</w:t>
      </w:r>
      <w:r>
        <w:rPr>
          <w:rFonts w:ascii="Times New Roman" w:hAnsi="Times New Roman"/>
          <w:b w:val="false"/>
          <w:i w:val="false"/>
          <w:color w:val="000000"/>
          <w:sz w:val="22"/>
        </w:rPr>
        <w:t> </w:t>
      </w:r>
      <w:r>
        <w:rPr>
          <w:rFonts w:ascii="Times New Roman" w:hAnsi="Times New Roman"/>
          <w:b w:val="false"/>
          <w:i/>
          <w:color w:val="000000"/>
          <w:sz w:val="22"/>
        </w:rPr>
        <w:t xml:space="preserve">Reverting of cash bond. </w:t>
      </w:r>
      <w:r>
        <w:rPr>
          <w:rFonts w:ascii="Times New Roman" w:hAnsi="Times New Roman"/>
          <w:b w:val="false"/>
          <w:i w:val="false"/>
          <w:color w:val="000000"/>
          <w:sz w:val="22"/>
        </w:rPr>
        <w:t>If the operator fails to request a release of cash bond after termination or expiration of a mining license, cash bond funds held shall revert to an interest-bearing account maintained by the division, provided a period of at least five years has elapsed since the license expiration. These funds may be used for the cost and administrative expenses of reclamation or rehabilitation activities for any mine site as deemed necessary and appropriate by the division.</w:t>
      </w:r>
    </w:p>
    <w:p>
      <w:pPr>
        <w:spacing w:before="210" w:after="0"/>
        <w:ind w:left="120"/>
        <w:jc w:val="both"/>
      </w:pPr>
      <w:r>
        <w:rPr>
          <w:rFonts w:ascii="Times New Roman" w:hAnsi="Times New Roman"/>
          <w:b/>
          <w:i w:val="false"/>
          <w:color w:val="000000"/>
          <w:sz w:val="22"/>
        </w:rPr>
        <w:t>27—60.42</w:t>
      </w:r>
      <w:r>
        <w:rPr>
          <w:rFonts w:ascii="Times New Roman" w:hAnsi="Times New Roman"/>
          <w:b w:val="false"/>
          <w:i w:val="false"/>
          <w:color w:val="000000"/>
          <w:sz w:val="22"/>
        </w:rPr>
        <w:t xml:space="preserve"> to </w:t>
      </w:r>
      <w:r>
        <w:rPr>
          <w:rFonts w:ascii="Times New Roman" w:hAnsi="Times New Roman"/>
          <w:b/>
          <w:i w:val="false"/>
          <w:color w:val="000000"/>
          <w:sz w:val="22"/>
        </w:rPr>
        <w:t>60.49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27—60.50</w:t>
      </w:r>
      <w:r>
        <w:rPr>
          <w:rFonts w:ascii="Times New Roman" w:hAnsi="Times New Roman"/>
          <w:b/>
          <w:i w:val="false"/>
          <w:color w:val="000000"/>
          <w:sz w:val="22"/>
        </w:rPr>
        <w:t xml:space="preserve">(208) </w:t>
      </w:r>
      <w:r>
        <w:rPr>
          <w:rFonts w:ascii="Times New Roman" w:hAnsi="Times New Roman"/>
          <w:b/>
          <w:i w:val="false"/>
          <w:color w:val="000000"/>
          <w:sz w:val="22"/>
        </w:rPr>
        <w:t xml:space="preserve">Transfers.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60.50(1)</w:t>
      </w:r>
      <w:r>
        <w:rPr>
          <w:rFonts w:ascii="Times New Roman" w:hAnsi="Times New Roman"/>
          <w:b w:val="false"/>
          <w:i w:val="false"/>
          <w:color w:val="000000"/>
          <w:sz w:val="22"/>
        </w:rPr>
        <w:t> </w:t>
      </w:r>
      <w:r>
        <w:rPr>
          <w:rFonts w:ascii="Times New Roman" w:hAnsi="Times New Roman"/>
          <w:b w:val="false"/>
          <w:i/>
          <w:color w:val="000000"/>
          <w:sz w:val="22"/>
        </w:rPr>
        <w:t xml:space="preserve">Registration transfer request. </w:t>
      </w:r>
      <w:r>
        <w:rPr>
          <w:rFonts w:ascii="Times New Roman" w:hAnsi="Times New Roman"/>
          <w:b w:val="false"/>
          <w:i w:val="false"/>
          <w:color w:val="000000"/>
          <w:sz w:val="22"/>
        </w:rPr>
        <w:t>If control of a registered site is acquired by an operator other than the operator holding authorization to conduct surface mining on the site, then both operators shall fill out the required portions of a Transfer Application form. The completed form shall then be filed with the division within 30 days of the actual transfer and prior to the start of any work by the new operator.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60.50(2)</w:t>
      </w:r>
      <w:r>
        <w:rPr>
          <w:rFonts w:ascii="Times New Roman" w:hAnsi="Times New Roman"/>
          <w:b w:val="false"/>
          <w:i w:val="false"/>
          <w:color w:val="000000"/>
          <w:sz w:val="22"/>
        </w:rPr>
        <w:t> </w:t>
      </w:r>
      <w:r>
        <w:rPr>
          <w:rFonts w:ascii="Times New Roman" w:hAnsi="Times New Roman"/>
          <w:b w:val="false"/>
          <w:i/>
          <w:color w:val="000000"/>
          <w:sz w:val="22"/>
        </w:rPr>
        <w:t xml:space="preserve">Transfer information. </w:t>
      </w:r>
      <w:r>
        <w:rPr>
          <w:rFonts w:ascii="Times New Roman" w:hAnsi="Times New Roman"/>
          <w:b w:val="false"/>
          <w:i w:val="false"/>
          <w:color w:val="000000"/>
          <w:sz w:val="22"/>
        </w:rPr>
        <w:t xml:space="preserve">In addition to the Transfer Application form, the new operator shall file a Registration Application form in accordance with rule </w:t>
      </w:r>
      <w:hyperlink r:id="rId19">
        <w:r>
          <w:rPr>
            <w:rStyle w:val="Hyperlink"/>
            <w:rFonts w:ascii="Times New Roman" w:hAnsi="Times New Roman"/>
            <w:b w:val="false"/>
            <w:i w:val="false"/>
            <w:color w:val="000000"/>
            <w:sz w:val="22"/>
          </w:rPr>
          <w:t>27—60.30(208)</w:t>
        </w:r>
      </w:hyperlink>
      <w:r>
        <w:rPr>
          <w:rFonts w:ascii="Times New Roman" w:hAnsi="Times New Roman"/>
          <w:b w:val="false"/>
          <w:i w:val="false"/>
          <w:color w:val="000000"/>
          <w:sz w:val="22"/>
        </w:rPr>
        <w:t xml:space="preserve">. A Request for Bond Release may be filed by the original operator in accordance with rule </w:t>
      </w:r>
      <w:hyperlink r:id="rId20">
        <w:r>
          <w:rPr>
            <w:rStyle w:val="Hyperlink"/>
            <w:rFonts w:ascii="Times New Roman" w:hAnsi="Times New Roman"/>
            <w:b w:val="false"/>
            <w:i w:val="false"/>
            <w:color w:val="000000"/>
            <w:sz w:val="22"/>
          </w:rPr>
          <w:t>27—60.41(208)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60.50(3)</w:t>
      </w:r>
      <w:r>
        <w:rPr>
          <w:rFonts w:ascii="Times New Roman" w:hAnsi="Times New Roman"/>
          <w:b w:val="false"/>
          <w:i w:val="false"/>
          <w:color w:val="000000"/>
          <w:sz w:val="22"/>
        </w:rPr>
        <w:t> </w:t>
      </w:r>
      <w:r>
        <w:rPr>
          <w:rFonts w:ascii="Times New Roman" w:hAnsi="Times New Roman"/>
          <w:b w:val="false"/>
          <w:i/>
          <w:color w:val="000000"/>
          <w:sz w:val="22"/>
        </w:rPr>
        <w:t xml:space="preserve">Transfer action. </w:t>
      </w:r>
      <w:r>
        <w:rPr>
          <w:rFonts w:ascii="Times New Roman" w:hAnsi="Times New Roman"/>
          <w:b w:val="false"/>
          <w:i w:val="false"/>
          <w:color w:val="000000"/>
          <w:sz w:val="22"/>
        </w:rPr>
        <w:t>No action shall be taken in relation to bond releases for the original operator or registration of the new operator regarding the site in question until the transfer request has been filed with the division and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60.50(4)</w:t>
      </w:r>
      <w:r>
        <w:rPr>
          <w:rFonts w:ascii="Times New Roman" w:hAnsi="Times New Roman"/>
          <w:b w:val="false"/>
          <w:i w:val="false"/>
          <w:color w:val="000000"/>
          <w:sz w:val="22"/>
        </w:rPr>
        <w:t> </w:t>
      </w:r>
      <w:r>
        <w:rPr>
          <w:rFonts w:ascii="Times New Roman" w:hAnsi="Times New Roman"/>
          <w:b w:val="false"/>
          <w:i/>
          <w:color w:val="000000"/>
          <w:sz w:val="22"/>
        </w:rPr>
        <w:t xml:space="preserve">Other agreements. </w:t>
      </w:r>
      <w:r>
        <w:rPr>
          <w:rFonts w:ascii="Times New Roman" w:hAnsi="Times New Roman"/>
          <w:b w:val="false"/>
          <w:i w:val="false"/>
          <w:color w:val="000000"/>
          <w:sz w:val="22"/>
        </w:rPr>
        <w:t>A transfer request does not prevent the new operator from making any agreement with the previous operator or any other party dealing with reclamation or mining of the site.</w:t>
      </w:r>
    </w:p>
    <w:p>
      <w:pPr>
        <w:spacing w:before="210" w:after="0"/>
        <w:ind w:left="120"/>
        <w:jc w:val="both"/>
      </w:pPr>
      <w:r>
        <w:rPr>
          <w:rFonts w:ascii="Times New Roman" w:hAnsi="Times New Roman"/>
          <w:b/>
          <w:i w:val="false"/>
          <w:color w:val="000000"/>
          <w:sz w:val="22"/>
        </w:rPr>
        <w:t>27—60.51</w:t>
      </w:r>
      <w:r>
        <w:rPr>
          <w:rFonts w:ascii="Times New Roman" w:hAnsi="Times New Roman"/>
          <w:b w:val="false"/>
          <w:i w:val="false"/>
          <w:color w:val="000000"/>
          <w:sz w:val="22"/>
        </w:rPr>
        <w:t xml:space="preserve"> to </w:t>
      </w:r>
      <w:r>
        <w:rPr>
          <w:rFonts w:ascii="Times New Roman" w:hAnsi="Times New Roman"/>
          <w:b/>
          <w:i w:val="false"/>
          <w:color w:val="000000"/>
          <w:sz w:val="22"/>
        </w:rPr>
        <w:t>60.59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27—60.60</w:t>
      </w:r>
      <w:r>
        <w:rPr>
          <w:rFonts w:ascii="Times New Roman" w:hAnsi="Times New Roman"/>
          <w:b/>
          <w:i w:val="false"/>
          <w:color w:val="000000"/>
          <w:sz w:val="22"/>
        </w:rPr>
        <w:t xml:space="preserve">(208) </w:t>
      </w:r>
      <w:r>
        <w:rPr>
          <w:rFonts w:ascii="Times New Roman" w:hAnsi="Times New Roman"/>
          <w:b/>
          <w:i w:val="false"/>
          <w:color w:val="000000"/>
          <w:sz w:val="22"/>
        </w:rPr>
        <w:t xml:space="preserve">Registration cancellation.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60.60(1)</w:t>
      </w:r>
      <w:r>
        <w:rPr>
          <w:rFonts w:ascii="Times New Roman" w:hAnsi="Times New Roman"/>
          <w:b w:val="false"/>
          <w:i w:val="false"/>
          <w:color w:val="000000"/>
          <w:sz w:val="22"/>
        </w:rPr>
        <w:t> </w:t>
      </w:r>
      <w:r>
        <w:rPr>
          <w:rFonts w:ascii="Times New Roman" w:hAnsi="Times New Roman"/>
          <w:b w:val="false"/>
          <w:i/>
          <w:color w:val="000000"/>
          <w:sz w:val="22"/>
        </w:rPr>
        <w:t xml:space="preserve">Reclamation approval request. </w:t>
      </w:r>
      <w:r>
        <w:rPr>
          <w:rFonts w:ascii="Times New Roman" w:hAnsi="Times New Roman"/>
          <w:b w:val="false"/>
          <w:i w:val="false"/>
          <w:color w:val="000000"/>
          <w:sz w:val="22"/>
        </w:rPr>
        <w:t>Upon completion of reclamation activities on a mine site or any part thereof, the operator may file a Reclamation Approval Request with the division. The form shall be completed and signed by the operator.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60.60(2)</w:t>
      </w:r>
      <w:r>
        <w:rPr>
          <w:rFonts w:ascii="Times New Roman" w:hAnsi="Times New Roman"/>
          <w:b w:val="false"/>
          <w:i w:val="false"/>
          <w:color w:val="000000"/>
          <w:sz w:val="22"/>
        </w:rPr>
        <w:t> </w:t>
      </w:r>
      <w:r>
        <w:rPr>
          <w:rFonts w:ascii="Times New Roman" w:hAnsi="Times New Roman"/>
          <w:b w:val="false"/>
          <w:i/>
          <w:color w:val="000000"/>
          <w:sz w:val="22"/>
        </w:rPr>
        <w:t xml:space="preserve">Inspection for approval. </w:t>
      </w:r>
      <w:r>
        <w:rPr>
          <w:rFonts w:ascii="Times New Roman" w:hAnsi="Times New Roman"/>
          <w:b w:val="false"/>
          <w:i w:val="false"/>
          <w:color w:val="000000"/>
          <w:sz w:val="22"/>
        </w:rPr>
        <w:t>Upon receiving a request the division shall, within 12 months, visit the site in question and shall respond, in writing, to the operator indicating either the approval or disapproval of the site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60.60(3)</w:t>
      </w:r>
      <w:r>
        <w:rPr>
          <w:rFonts w:ascii="Times New Roman" w:hAnsi="Times New Roman"/>
          <w:b w:val="false"/>
          <w:i w:val="false"/>
          <w:color w:val="000000"/>
          <w:sz w:val="22"/>
        </w:rPr>
        <w:t> </w:t>
      </w:r>
      <w:r>
        <w:rPr>
          <w:rFonts w:ascii="Times New Roman" w:hAnsi="Times New Roman"/>
          <w:b w:val="false"/>
          <w:i/>
          <w:color w:val="000000"/>
          <w:sz w:val="22"/>
        </w:rPr>
        <w:t xml:space="preserve">Approval denied. </w:t>
      </w:r>
      <w:r>
        <w:rPr>
          <w:rFonts w:ascii="Times New Roman" w:hAnsi="Times New Roman"/>
          <w:b w:val="false"/>
          <w:i w:val="false"/>
          <w:color w:val="000000"/>
          <w:sz w:val="22"/>
        </w:rPr>
        <w:t>If the site condition is not approved, the division shall notify the operator, in writing, and explain the reason for the disapproval. The operator shall then complete the reclamation specified by the division and reapply for approval.</w:t>
      </w:r>
    </w:p>
    <w:p>
      <w:pPr>
        <w:spacing w:before="210" w:after="0"/>
        <w:ind w:left="120"/>
        <w:jc w:val="both"/>
      </w:pPr>
      <w:r>
        <w:rPr>
          <w:rFonts w:ascii="Times New Roman" w:hAnsi="Times New Roman"/>
          <w:b/>
          <w:i w:val="false"/>
          <w:color w:val="000000"/>
          <w:sz w:val="22"/>
        </w:rPr>
        <w:t>27—60.61</w:t>
      </w:r>
      <w:r>
        <w:rPr>
          <w:rFonts w:ascii="Times New Roman" w:hAnsi="Times New Roman"/>
          <w:b w:val="false"/>
          <w:i w:val="false"/>
          <w:color w:val="000000"/>
          <w:sz w:val="22"/>
        </w:rPr>
        <w:t xml:space="preserve"> to </w:t>
      </w:r>
      <w:r>
        <w:rPr>
          <w:rFonts w:ascii="Times New Roman" w:hAnsi="Times New Roman"/>
          <w:b/>
          <w:i w:val="false"/>
          <w:color w:val="000000"/>
          <w:sz w:val="22"/>
        </w:rPr>
        <w:t>60.64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27—60.65</w:t>
      </w:r>
      <w:r>
        <w:rPr>
          <w:rFonts w:ascii="Times New Roman" w:hAnsi="Times New Roman"/>
          <w:b/>
          <w:i w:val="false"/>
          <w:color w:val="000000"/>
          <w:sz w:val="22"/>
        </w:rPr>
        <w:t xml:space="preserve">(208) </w:t>
      </w:r>
      <w:r>
        <w:rPr>
          <w:rFonts w:ascii="Times New Roman" w:hAnsi="Times New Roman"/>
          <w:b/>
          <w:i w:val="false"/>
          <w:color w:val="000000"/>
          <w:sz w:val="22"/>
        </w:rPr>
        <w:t xml:space="preserve">Enforcement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60.65(1)</w:t>
      </w:r>
      <w:r>
        <w:rPr>
          <w:rFonts w:ascii="Times New Roman" w:hAnsi="Times New Roman"/>
          <w:b w:val="false"/>
          <w:i w:val="false"/>
          <w:color w:val="000000"/>
          <w:sz w:val="22"/>
        </w:rPr>
        <w:t> </w:t>
      </w:r>
      <w:r>
        <w:rPr>
          <w:rFonts w:ascii="Times New Roman" w:hAnsi="Times New Roman"/>
          <w:b w:val="false"/>
          <w:i/>
          <w:color w:val="000000"/>
          <w:sz w:val="22"/>
        </w:rPr>
        <w:t xml:space="preserve">Notice of violation. </w:t>
      </w:r>
      <w:r>
        <w:rPr>
          <w:rFonts w:ascii="Times New Roman" w:hAnsi="Times New Roman"/>
          <w:b w:val="false"/>
          <w:i w:val="false"/>
          <w:color w:val="000000"/>
          <w:sz w:val="22"/>
        </w:rPr>
        <w:t xml:space="preserve">Notice to an operator of violations of these rules or Iowa Code chapter </w:t>
      </w:r>
      <w:hyperlink r:id="rId21">
        <w:r>
          <w:rPr>
            <w:rStyle w:val="Hyperlink"/>
            <w:rFonts w:ascii="Times New Roman" w:hAnsi="Times New Roman"/>
            <w:b w:val="false"/>
            <w:i w:val="false"/>
            <w:color w:val="000000"/>
            <w:sz w:val="22"/>
          </w:rPr>
          <w:t>208</w:t>
        </w:r>
      </w:hyperlink>
      <w:r>
        <w:rPr>
          <w:rFonts w:ascii="Times New Roman" w:hAnsi="Times New Roman"/>
          <w:b w:val="false"/>
          <w:i w:val="false"/>
          <w:color w:val="000000"/>
          <w:sz w:val="22"/>
        </w:rPr>
        <w:t xml:space="preserv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violation, including a citation of the rule or statute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action required to abate the violation,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deadline for abatement.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60.65(2)</w:t>
      </w:r>
      <w:r>
        <w:rPr>
          <w:rFonts w:ascii="Times New Roman" w:hAnsi="Times New Roman"/>
          <w:b w:val="false"/>
          <w:i w:val="false"/>
          <w:color w:val="000000"/>
          <w:sz w:val="22"/>
        </w:rPr>
        <w:t> </w:t>
      </w:r>
      <w:r>
        <w:rPr>
          <w:rFonts w:ascii="Times New Roman" w:hAnsi="Times New Roman"/>
          <w:b w:val="false"/>
          <w:i/>
          <w:color w:val="000000"/>
          <w:sz w:val="22"/>
        </w:rPr>
        <w:t xml:space="preserve">Issuance of administrative order. </w:t>
      </w:r>
      <w:r>
        <w:rPr>
          <w:rFonts w:ascii="Times New Roman" w:hAnsi="Times New Roman"/>
          <w:b w:val="false"/>
          <w:i w:val="false"/>
          <w:color w:val="000000"/>
          <w:sz w:val="22"/>
        </w:rPr>
        <w:t xml:space="preserve">If an operation fails to complete abatement measures in the time allowed, the division may initiate an administrative order in accordance with these rules and Iowa Code chapter </w:t>
      </w:r>
      <w:hyperlink r:id="rId22">
        <w:r>
          <w:rPr>
            <w:rStyle w:val="Hyperlink"/>
            <w:rFonts w:ascii="Times New Roman" w:hAnsi="Times New Roman"/>
            <w:b w:val="false"/>
            <w:i w:val="false"/>
            <w:color w:val="000000"/>
            <w:sz w:val="22"/>
          </w:rPr>
          <w:t>208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60.65(3)</w:t>
      </w:r>
      <w:r>
        <w:rPr>
          <w:rFonts w:ascii="Times New Roman" w:hAnsi="Times New Roman"/>
          <w:b w:val="false"/>
          <w:i w:val="false"/>
          <w:color w:val="000000"/>
          <w:sz w:val="22"/>
        </w:rPr>
        <w:t> </w:t>
      </w:r>
      <w:r>
        <w:rPr>
          <w:rFonts w:ascii="Times New Roman" w:hAnsi="Times New Roman"/>
          <w:b w:val="false"/>
          <w:i/>
          <w:color w:val="000000"/>
          <w:sz w:val="22"/>
        </w:rPr>
        <w:t xml:space="preserve">Referral to attorney general. </w:t>
      </w:r>
      <w:r>
        <w:rPr>
          <w:rFonts w:ascii="Times New Roman" w:hAnsi="Times New Roman"/>
          <w:b w:val="false"/>
          <w:i w:val="false"/>
          <w:color w:val="000000"/>
          <w:sz w:val="22"/>
        </w:rPr>
        <w:t xml:space="preserve">Pursuant to Iowa Code section </w:t>
      </w:r>
      <w:hyperlink r:id="rId23">
        <w:r>
          <w:rPr>
            <w:rStyle w:val="Hyperlink"/>
            <w:rFonts w:ascii="Times New Roman" w:hAnsi="Times New Roman"/>
            <w:b w:val="false"/>
            <w:i w:val="false"/>
            <w:color w:val="000000"/>
            <w:sz w:val="22"/>
          </w:rPr>
          <w:t>208.10A</w:t>
        </w:r>
      </w:hyperlink>
      <w:r>
        <w:rPr>
          <w:rFonts w:ascii="Times New Roman" w:hAnsi="Times New Roman"/>
          <w:b w:val="false"/>
          <w:i w:val="false"/>
          <w:color w:val="000000"/>
          <w:sz w:val="22"/>
        </w:rPr>
        <w:t>, the division may also notify the attorney general in the event of noncompliance by the operator following notice. The attorney general shall institute a civil action in district court for injunctive relief and for the assessment of a civil penalty not to exceed $10,000. The division may make such referral either in lieu of or in conjunction with the issuance of an administrative order.</w:t>
      </w:r>
    </w:p>
    <w:p>
      <w:pPr>
        <w:spacing w:before="210" w:after="0"/>
        <w:ind w:left="120"/>
        <w:jc w:val="both"/>
      </w:pPr>
      <w:r>
        <w:rPr>
          <w:rFonts w:ascii="Times New Roman" w:hAnsi="Times New Roman"/>
          <w:b/>
          <w:i w:val="false"/>
          <w:color w:val="000000"/>
          <w:sz w:val="22"/>
        </w:rPr>
        <w:t>27—60.66</w:t>
      </w:r>
      <w:r>
        <w:rPr>
          <w:rFonts w:ascii="Times New Roman" w:hAnsi="Times New Roman"/>
          <w:b w:val="false"/>
          <w:i w:val="false"/>
          <w:color w:val="000000"/>
          <w:sz w:val="22"/>
        </w:rPr>
        <w:t xml:space="preserve"> to </w:t>
      </w:r>
      <w:r>
        <w:rPr>
          <w:rFonts w:ascii="Times New Roman" w:hAnsi="Times New Roman"/>
          <w:b/>
          <w:i w:val="false"/>
          <w:color w:val="000000"/>
          <w:sz w:val="22"/>
        </w:rPr>
        <w:t>60.69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27—60.70</w:t>
      </w:r>
      <w:r>
        <w:rPr>
          <w:rFonts w:ascii="Times New Roman" w:hAnsi="Times New Roman"/>
          <w:b/>
          <w:i w:val="false"/>
          <w:color w:val="000000"/>
          <w:sz w:val="22"/>
        </w:rPr>
        <w:t xml:space="preserve">(208) </w:t>
      </w:r>
      <w:r>
        <w:rPr>
          <w:rFonts w:ascii="Times New Roman" w:hAnsi="Times New Roman"/>
          <w:b/>
          <w:i w:val="false"/>
          <w:color w:val="000000"/>
          <w:sz w:val="22"/>
        </w:rPr>
        <w:t xml:space="preserve">Annual mining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60.70(1)</w:t>
      </w:r>
      <w:r>
        <w:rPr>
          <w:rFonts w:ascii="Times New Roman" w:hAnsi="Times New Roman"/>
          <w:b w:val="false"/>
          <w:i w:val="false"/>
          <w:color w:val="000000"/>
          <w:sz w:val="22"/>
        </w:rPr>
        <w:t> </w:t>
      </w:r>
      <w:r>
        <w:rPr>
          <w:rFonts w:ascii="Times New Roman" w:hAnsi="Times New Roman"/>
          <w:b w:val="false"/>
          <w:i/>
          <w:color w:val="000000"/>
          <w:sz w:val="22"/>
        </w:rPr>
        <w:t xml:space="preserve">Annual reports—surface operations. </w:t>
      </w:r>
      <w:r>
        <w:rPr>
          <w:rFonts w:ascii="Times New Roman" w:hAnsi="Times New Roman"/>
          <w:b w:val="false"/>
          <w:i w:val="false"/>
          <w:color w:val="000000"/>
          <w:sz w:val="22"/>
        </w:rPr>
        <w:t>Annual reports shall be filed for each site on the form provided by the division. These reports may include, but shall not be limited to, information concerning the location of the mine site, types of material mined, thickness and types of overburden materials, area of land disturbed during the report year, area of land reclaimed during the report year, as well as any other pertinent information concerning the mining operation and deemed necessary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60.70(2)</w:t>
      </w:r>
      <w:r>
        <w:rPr>
          <w:rFonts w:ascii="Times New Roman" w:hAnsi="Times New Roman"/>
          <w:b w:val="false"/>
          <w:i w:val="false"/>
          <w:color w:val="000000"/>
          <w:sz w:val="22"/>
        </w:rPr>
        <w:t> </w:t>
      </w:r>
      <w:r>
        <w:rPr>
          <w:rFonts w:ascii="Times New Roman" w:hAnsi="Times New Roman"/>
          <w:b w:val="false"/>
          <w:i/>
          <w:color w:val="000000"/>
          <w:sz w:val="22"/>
        </w:rPr>
        <w:t xml:space="preserve">Underground mine maps. </w:t>
      </w:r>
      <w:r>
        <w:rPr>
          <w:rFonts w:ascii="Times New Roman" w:hAnsi="Times New Roman"/>
          <w:b w:val="false"/>
          <w:i w:val="false"/>
          <w:color w:val="000000"/>
          <w:sz w:val="22"/>
        </w:rPr>
        <w:t>The state geologist shall provide the division with copies of each map and map extension received pursuant to Iowa Code section 456.11.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60.70(3)</w:t>
      </w:r>
      <w:r>
        <w:rPr>
          <w:rFonts w:ascii="Times New Roman" w:hAnsi="Times New Roman"/>
          <w:b w:val="false"/>
          <w:i w:val="false"/>
          <w:color w:val="000000"/>
          <w:sz w:val="22"/>
        </w:rPr>
        <w:t> </w:t>
      </w:r>
      <w:r>
        <w:rPr>
          <w:rFonts w:ascii="Times New Roman" w:hAnsi="Times New Roman"/>
          <w:b w:val="false"/>
          <w:i/>
          <w:color w:val="000000"/>
          <w:sz w:val="22"/>
        </w:rPr>
        <w:t xml:space="preserve">Filing date. </w:t>
      </w:r>
      <w:r>
        <w:rPr>
          <w:rFonts w:ascii="Times New Roman" w:hAnsi="Times New Roman"/>
          <w:b w:val="false"/>
          <w:i w:val="false"/>
          <w:color w:val="000000"/>
          <w:sz w:val="22"/>
        </w:rPr>
        <w:t>Reports shall be filed by January 31 for the previous year. Reports not received within 30 days after the specified date shall invalidate the registration of a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60.70(4)</w:t>
      </w:r>
      <w:r>
        <w:rPr>
          <w:rFonts w:ascii="Times New Roman" w:hAnsi="Times New Roman"/>
          <w:b w:val="false"/>
          <w:i w:val="false"/>
          <w:color w:val="000000"/>
          <w:sz w:val="22"/>
        </w:rPr>
        <w:t> </w:t>
      </w:r>
      <w:r>
        <w:rPr>
          <w:rFonts w:ascii="Times New Roman" w:hAnsi="Times New Roman"/>
          <w:b w:val="false"/>
          <w:i/>
          <w:color w:val="000000"/>
          <w:sz w:val="22"/>
        </w:rPr>
        <w:t xml:space="preserve">Final report. </w:t>
      </w:r>
      <w:r>
        <w:rPr>
          <w:rFonts w:ascii="Times New Roman" w:hAnsi="Times New Roman"/>
          <w:b w:val="false"/>
          <w:i w:val="false"/>
          <w:color w:val="000000"/>
          <w:sz w:val="22"/>
        </w:rPr>
        <w:t xml:space="preserve">Upon conclusion of mining at any site the operator shall file a mining report indicating that all mining activity is completed. This report shall be filed regardless of any other reports filed in connection with subrule </w:t>
      </w:r>
      <w:hyperlink r:id="rId24">
        <w:r>
          <w:rPr>
            <w:rStyle w:val="Hyperlink"/>
            <w:rFonts w:ascii="Times New Roman" w:hAnsi="Times New Roman"/>
            <w:b w:val="false"/>
            <w:i w:val="false"/>
            <w:color w:val="000000"/>
            <w:sz w:val="22"/>
          </w:rPr>
          <w:t>60.70(3)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27—60.71</w:t>
      </w:r>
      <w:r>
        <w:rPr>
          <w:rFonts w:ascii="Times New Roman" w:hAnsi="Times New Roman"/>
          <w:b w:val="false"/>
          <w:i w:val="false"/>
          <w:color w:val="000000"/>
          <w:sz w:val="22"/>
        </w:rPr>
        <w:t xml:space="preserve"> to </w:t>
      </w:r>
      <w:r>
        <w:rPr>
          <w:rFonts w:ascii="Times New Roman" w:hAnsi="Times New Roman"/>
          <w:b/>
          <w:i w:val="false"/>
          <w:color w:val="000000"/>
          <w:sz w:val="22"/>
        </w:rPr>
        <w:t>60.74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27—60.75</w:t>
      </w:r>
      <w:r>
        <w:rPr>
          <w:rFonts w:ascii="Times New Roman" w:hAnsi="Times New Roman"/>
          <w:b/>
          <w:i w:val="false"/>
          <w:color w:val="000000"/>
          <w:sz w:val="22"/>
        </w:rPr>
        <w:t xml:space="preserve">(208) </w:t>
      </w:r>
      <w:r>
        <w:rPr>
          <w:rFonts w:ascii="Times New Roman" w:hAnsi="Times New Roman"/>
          <w:b/>
          <w:i w:val="false"/>
          <w:color w:val="000000"/>
          <w:sz w:val="22"/>
        </w:rPr>
        <w:t xml:space="preserve">General mining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60.75(1)</w:t>
      </w:r>
      <w:r>
        <w:rPr>
          <w:rFonts w:ascii="Times New Roman" w:hAnsi="Times New Roman"/>
          <w:b w:val="false"/>
          <w:i w:val="false"/>
          <w:color w:val="000000"/>
          <w:sz w:val="22"/>
        </w:rPr>
        <w:t> </w:t>
      </w:r>
      <w:r>
        <w:rPr>
          <w:rFonts w:ascii="Times New Roman" w:hAnsi="Times New Roman"/>
          <w:b w:val="false"/>
          <w:i/>
          <w:color w:val="000000"/>
          <w:sz w:val="22"/>
        </w:rPr>
        <w:t xml:space="preserve">Topsoil and overburden stockpiles. </w:t>
      </w:r>
      <w:r>
        <w:rPr>
          <w:rFonts w:ascii="Times New Roman" w:hAnsi="Times New Roman"/>
          <w:b w:val="false"/>
          <w:i w:val="false"/>
          <w:color w:val="000000"/>
          <w:sz w:val="22"/>
        </w:rPr>
        <w:t>Topsoil shall not be buried or mixed with nontopsoil materials. All stockpiles (topsoil and overburden) shall be seeded and stabilized if they are to remain in place for a period of time in excess of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60.75(2)</w:t>
      </w:r>
      <w:r>
        <w:rPr>
          <w:rFonts w:ascii="Times New Roman" w:hAnsi="Times New Roman"/>
          <w:b w:val="false"/>
          <w:i w:val="false"/>
          <w:color w:val="000000"/>
          <w:sz w:val="22"/>
        </w:rPr>
        <w:t> </w:t>
      </w:r>
      <w:r>
        <w:rPr>
          <w:rFonts w:ascii="Times New Roman" w:hAnsi="Times New Roman"/>
          <w:b w:val="false"/>
          <w:i/>
          <w:color w:val="000000"/>
          <w:sz w:val="22"/>
        </w:rPr>
        <w:t xml:space="preserve">Erosion control. </w:t>
      </w:r>
      <w:r>
        <w:rPr>
          <w:rFonts w:ascii="Times New Roman" w:hAnsi="Times New Roman"/>
          <w:b w:val="false"/>
          <w:i w:val="false"/>
          <w:color w:val="000000"/>
          <w:sz w:val="22"/>
        </w:rPr>
        <w:t>Affected areas which will not be disturbed by future operations shall be graded, disked, mulched, fertilized, and seeded as necessary within a period of nine months to attain substantial and appropriate grass, legume, shrub, tree, crop, or other acceptable species and to ensure viable erosion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60.75(3)</w:t>
      </w:r>
      <w:r>
        <w:rPr>
          <w:rFonts w:ascii="Times New Roman" w:hAnsi="Times New Roman"/>
          <w:b w:val="false"/>
          <w:i w:val="false"/>
          <w:color w:val="000000"/>
          <w:sz w:val="22"/>
        </w:rPr>
        <w:t> </w:t>
      </w:r>
      <w:r>
        <w:rPr>
          <w:rFonts w:ascii="Times New Roman" w:hAnsi="Times New Roman"/>
          <w:b w:val="false"/>
          <w:i/>
          <w:color w:val="000000"/>
          <w:sz w:val="22"/>
        </w:rPr>
        <w:t xml:space="preserve">Setback.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excavation setback distance of 25 feet shall be maintained from all registered site boundaries to protect the adjacent property from erosion or damage which might result from mining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areas where excavation depth exceeds 25 feet, a minimum excavation setback distance of at least 50 feet shall be maintained from registered site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minimum excavation setback distance of 50 feet shall be maintained from all buildings, dwellings, public right-of-way boundaries and other man-made structures not associated with the mining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Excavation on a registered site found to be closer than the allowable minimum setback shall be in violation of this subrule. The operator shall be required to backfill, slope and stabilize to the required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requirements of this subrule shall not apply to registered operations where mining has exceeded the setback limitation as of January 1, 1991, provided that the operator has filed adequate documentation as of July 1, 1991, detailing the area being grandfathered into these requirements.</w:t>
      </w:r>
    </w:p>
    <w:p>
      <w:pPr>
        <w:spacing w:before="0" w:after="0"/>
        <w:ind w:left="120"/>
        <w:jc w:val="both"/>
      </w:pPr>
      <w:r>
        <w:rPr>
          <w:rFonts w:ascii="Times New Roman" w:hAnsi="Times New Roman"/>
          <w:b w:val="false"/>
          <w:i w:val="false"/>
          <w:color w:val="000000"/>
          <w:sz w:val="22"/>
        </w:rPr>
        <w:t>The operator shall be responsible for maintaining a permanent record of all documentation once approved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 may grant a variance from this subrule, provided the operator submits a complete application that meets the requirements of rule </w:t>
      </w:r>
      <w:hyperlink r:id="rId25">
        <w:r>
          <w:rPr>
            <w:rStyle w:val="Hyperlink"/>
            <w:rFonts w:ascii="Times New Roman" w:hAnsi="Times New Roman"/>
            <w:b w:val="false"/>
            <w:i w:val="false"/>
            <w:color w:val="000000"/>
            <w:sz w:val="22"/>
          </w:rPr>
          <w:t>27—60.85</w:t>
        </w:r>
      </w:hyperlink>
      <w:r>
        <w:rPr>
          <w:rFonts w:ascii="Times New Roman" w:hAnsi="Times New Roman"/>
          <w:b w:val="false"/>
          <w:i w:val="false"/>
          <w:color w:val="000000"/>
          <w:sz w:val="22"/>
        </w:rPr>
        <w:t>(208) at least 60 days prior to the proposed starting date of any mining within the setback limitations.</w:t>
      </w:r>
    </w:p>
    <w:p>
      <w:pPr>
        <w:spacing w:before="210" w:after="0"/>
        <w:ind w:left="120"/>
        <w:jc w:val="both"/>
      </w:pPr>
      <w:r>
        <w:rPr>
          <w:rFonts w:ascii="Times New Roman" w:hAnsi="Times New Roman"/>
          <w:b/>
          <w:i w:val="false"/>
          <w:color w:val="000000"/>
          <w:sz w:val="22"/>
        </w:rPr>
        <w:t>27—60.76</w:t>
      </w:r>
      <w:r>
        <w:rPr>
          <w:rFonts w:ascii="Times New Roman" w:hAnsi="Times New Roman"/>
          <w:b w:val="false"/>
          <w:i w:val="false"/>
          <w:color w:val="000000"/>
          <w:sz w:val="22"/>
        </w:rPr>
        <w:t xml:space="preserve"> to </w:t>
      </w:r>
      <w:r>
        <w:rPr>
          <w:rFonts w:ascii="Times New Roman" w:hAnsi="Times New Roman"/>
          <w:b/>
          <w:i w:val="false"/>
          <w:color w:val="000000"/>
          <w:sz w:val="22"/>
        </w:rPr>
        <w:t>60.79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27—60.80</w:t>
      </w:r>
      <w:r>
        <w:rPr>
          <w:rFonts w:ascii="Times New Roman" w:hAnsi="Times New Roman"/>
          <w:b/>
          <w:i w:val="false"/>
          <w:color w:val="000000"/>
          <w:sz w:val="22"/>
        </w:rPr>
        <w:t xml:space="preserve">(208) </w:t>
      </w:r>
      <w:r>
        <w:rPr>
          <w:rFonts w:ascii="Times New Roman" w:hAnsi="Times New Roman"/>
          <w:b/>
          <w:i w:val="false"/>
          <w:color w:val="000000"/>
          <w:sz w:val="22"/>
        </w:rPr>
        <w:t xml:space="preserve">Reclamation.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60.80(1)</w:t>
      </w:r>
      <w:r>
        <w:rPr>
          <w:rFonts w:ascii="Times New Roman" w:hAnsi="Times New Roman"/>
          <w:b w:val="false"/>
          <w:i w:val="false"/>
          <w:color w:val="000000"/>
          <w:sz w:val="22"/>
        </w:rPr>
        <w:t> </w:t>
      </w:r>
      <w:r>
        <w:rPr>
          <w:rFonts w:ascii="Times New Roman" w:hAnsi="Times New Roman"/>
          <w:b w:val="false"/>
          <w:i/>
          <w:color w:val="000000"/>
          <w:sz w:val="22"/>
        </w:rPr>
        <w:t xml:space="preserve">Schedule. </w:t>
      </w:r>
      <w:r>
        <w:rPr>
          <w:rFonts w:ascii="Times New Roman" w:hAnsi="Times New Roman"/>
          <w:b w:val="false"/>
          <w:i w:val="false"/>
          <w:color w:val="000000"/>
          <w:sz w:val="22"/>
        </w:rPr>
        <w:t>The operator, upon filing a mine report indicating the conclusion of all mining activities, will have a period of three years to complete all reclamation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60.80(2)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The operator shall grade all remaining affected lands, except stockpiles, processing areas, pit floors, and highwalls, to allowable slopes within six months following the filing of the final report. Stockpiles and processing areas shall be graded or the material exported from the site within one year following the final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60.80(3)</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w:t>
      </w:r>
      <w:r>
        <w:rPr>
          <w:rFonts w:ascii="Times New Roman" w:hAnsi="Times New Roman"/>
          <w:b w:val="false"/>
          <w:i w:val="false"/>
          <w:color w:val="000000"/>
          <w:sz w:val="22"/>
        </w:rPr>
        <w:t xml:space="preserve">The operator shall be allowed a three-month extension of time on subrule </w:t>
      </w:r>
      <w:hyperlink r:id="rId26">
        <w:r>
          <w:rPr>
            <w:rStyle w:val="Hyperlink"/>
            <w:rFonts w:ascii="Times New Roman" w:hAnsi="Times New Roman"/>
            <w:b w:val="false"/>
            <w:i w:val="false"/>
            <w:color w:val="000000"/>
            <w:sz w:val="22"/>
          </w:rPr>
          <w:t>60.80(2)</w:t>
        </w:r>
      </w:hyperlink>
      <w:r>
        <w:rPr>
          <w:rFonts w:ascii="Times New Roman" w:hAnsi="Times New Roman"/>
          <w:b w:val="false"/>
          <w:i w:val="false"/>
          <w:color w:val="000000"/>
          <w:sz w:val="22"/>
        </w:rPr>
        <w:t xml:space="preserve"> provided a written request is filed at least 30 days (or 20 working days) prior to the original deadline. Only one extension will be allowed the operator per release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60.80(4)</w:t>
      </w:r>
      <w:r>
        <w:rPr>
          <w:rFonts w:ascii="Times New Roman" w:hAnsi="Times New Roman"/>
          <w:b w:val="false"/>
          <w:i w:val="false"/>
          <w:color w:val="000000"/>
          <w:sz w:val="22"/>
        </w:rPr>
        <w:t> </w:t>
      </w:r>
      <w:r>
        <w:rPr>
          <w:rFonts w:ascii="Times New Roman" w:hAnsi="Times New Roman"/>
          <w:b w:val="false"/>
          <w:i/>
          <w:color w:val="000000"/>
          <w:sz w:val="22"/>
        </w:rPr>
        <w:t xml:space="preserve">Grading. </w:t>
      </w:r>
      <w:r>
        <w:rPr>
          <w:rFonts w:ascii="Times New Roman" w:hAnsi="Times New Roman"/>
          <w:b w:val="false"/>
          <w:i w:val="false"/>
          <w:color w:val="000000"/>
          <w:sz w:val="22"/>
        </w:rPr>
        <w:t>All lands affected by the mining process, with the exception of pit floors, highwalls and water impoundments, shall be graded to slopes having a maximum one-foot vertical rise for every four feet horizontal distance or graded to blend with the surrounding terrain.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60.80(5)</w:t>
      </w:r>
      <w:r>
        <w:rPr>
          <w:rFonts w:ascii="Times New Roman" w:hAnsi="Times New Roman"/>
          <w:b w:val="false"/>
          <w:i w:val="false"/>
          <w:color w:val="000000"/>
          <w:sz w:val="22"/>
        </w:rPr>
        <w:t> </w:t>
      </w:r>
      <w:r>
        <w:rPr>
          <w:rFonts w:ascii="Times New Roman" w:hAnsi="Times New Roman"/>
          <w:b w:val="false"/>
          <w:i/>
          <w:color w:val="000000"/>
          <w:sz w:val="22"/>
        </w:rPr>
        <w:t xml:space="preserve">Waste disposal. </w:t>
      </w:r>
      <w:r>
        <w:rPr>
          <w:rFonts w:ascii="Times New Roman" w:hAnsi="Times New Roman"/>
          <w:b w:val="false"/>
          <w:i w:val="false"/>
          <w:color w:val="000000"/>
          <w:sz w:val="22"/>
        </w:rPr>
        <w:t>In grading the site all mining-related waste products and machinery incompatible with the care and growth of vegetation shall be removed from the site and disposed of in a manner consistent and acceptable with state law. Materials acceptable for on-site disposal, such as concrete and clay products free of reinforcing shall be buried a minimum of three feet below final grade.</w:t>
      </w:r>
    </w:p>
    <w:p>
      <w:pPr>
        <w:spacing w:before="0" w:after="0"/>
        <w:ind w:left="120"/>
        <w:jc w:val="both"/>
      </w:pPr>
      <w:r>
        <w:rPr>
          <w:rFonts w:ascii="Times New Roman" w:hAnsi="Times New Roman"/>
          <w:b w:val="false"/>
          <w:i w:val="false"/>
          <w:color w:val="000000"/>
          <w:sz w:val="22"/>
        </w:rPr>
        <w:t>Boulders and stones incompatible with the proposed postmining use of the site shall be buried or removed from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60.80(6)</w:t>
      </w:r>
      <w:r>
        <w:rPr>
          <w:rFonts w:ascii="Times New Roman" w:hAnsi="Times New Roman"/>
          <w:b w:val="false"/>
          <w:i w:val="false"/>
          <w:color w:val="000000"/>
          <w:sz w:val="22"/>
        </w:rPr>
        <w:t> </w:t>
      </w:r>
      <w:r>
        <w:rPr>
          <w:rFonts w:ascii="Times New Roman" w:hAnsi="Times New Roman"/>
          <w:b w:val="false"/>
          <w:i/>
          <w:color w:val="000000"/>
          <w:sz w:val="22"/>
        </w:rPr>
        <w:t xml:space="preserve">Vegetation. </w:t>
      </w:r>
      <w:r>
        <w:rPr>
          <w:rFonts w:ascii="Times New Roman" w:hAnsi="Times New Roman"/>
          <w:b w:val="false"/>
          <w:i w:val="false"/>
          <w:color w:val="000000"/>
          <w:sz w:val="22"/>
        </w:rPr>
        <w:t>Seeding of an area with grasses and legumes shall be accomplished within three months following the conclusion of all earthwork, weather permitting. Erosion control methods shall be used where necessary to prevent rill and gully formation. The operator shall be responsible for attaining a ground cover of acceptable species of grass, legume, shrub, tree or crop.</w:t>
      </w:r>
    </w:p>
    <w:p>
      <w:pPr>
        <w:spacing w:before="0" w:after="0"/>
        <w:ind w:left="120"/>
        <w:jc w:val="both"/>
      </w:pPr>
      <w:r>
        <w:rPr>
          <w:rFonts w:ascii="Times New Roman" w:hAnsi="Times New Roman"/>
          <w:b w:val="false"/>
          <w:i w:val="false"/>
          <w:color w:val="000000"/>
          <w:sz w:val="22"/>
        </w:rPr>
        <w:t>The vegetation shall be allowed at least one growing season to become established prior to the filing of a release request by the operator.</w:t>
      </w:r>
    </w:p>
    <w:p>
      <w:pPr>
        <w:spacing w:before="0" w:after="0"/>
        <w:ind w:left="120"/>
        <w:jc w:val="both"/>
      </w:pPr>
      <w:r>
        <w:rPr>
          <w:rFonts w:ascii="Times New Roman" w:hAnsi="Times New Roman"/>
          <w:b w:val="false"/>
          <w:i w:val="false"/>
          <w:color w:val="000000"/>
          <w:sz w:val="22"/>
        </w:rPr>
        <w:t>If necessary, additional seedings shall be performed to establish a viable vegetative cover.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60.80(7)</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t>
      </w:r>
      <w:r>
        <w:rPr>
          <w:rFonts w:ascii="Times New Roman" w:hAnsi="Times New Roman"/>
          <w:b w:val="false"/>
          <w:i w:val="false"/>
          <w:color w:val="000000"/>
          <w:sz w:val="22"/>
        </w:rPr>
        <w:t>Failure to adhere to the reclamation schedule may be grounds for an administrative order, revocation of the operator’s license to mine, or initiation of bond forfeiture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60.80(8)</w:t>
      </w:r>
      <w:r>
        <w:rPr>
          <w:rFonts w:ascii="Times New Roman" w:hAnsi="Times New Roman"/>
          <w:b w:val="false"/>
          <w:i w:val="false"/>
          <w:color w:val="000000"/>
          <w:sz w:val="22"/>
        </w:rPr>
        <w:t> </w:t>
      </w:r>
      <w:r>
        <w:rPr>
          <w:rFonts w:ascii="Times New Roman" w:hAnsi="Times New Roman"/>
          <w:b w:val="false"/>
          <w:i/>
          <w:color w:val="000000"/>
          <w:sz w:val="22"/>
        </w:rPr>
        <w:t xml:space="preserve">Variance. </w:t>
      </w:r>
      <w:r>
        <w:rPr>
          <w:rFonts w:ascii="Times New Roman" w:hAnsi="Times New Roman"/>
          <w:b w:val="false"/>
          <w:i w:val="false"/>
          <w:color w:val="000000"/>
          <w:sz w:val="22"/>
        </w:rPr>
        <w:t xml:space="preserve">The division may grant a variance from rule </w:t>
      </w:r>
      <w:hyperlink r:id="rId27">
        <w:r>
          <w:rPr>
            <w:rStyle w:val="Hyperlink"/>
            <w:rFonts w:ascii="Times New Roman" w:hAnsi="Times New Roman"/>
            <w:b w:val="false"/>
            <w:i w:val="false"/>
            <w:color w:val="000000"/>
            <w:sz w:val="22"/>
          </w:rPr>
          <w:t>27—60.80</w:t>
        </w:r>
      </w:hyperlink>
      <w:r>
        <w:rPr>
          <w:rFonts w:ascii="Times New Roman" w:hAnsi="Times New Roman"/>
          <w:b w:val="false"/>
          <w:i w:val="false"/>
          <w:color w:val="000000"/>
          <w:sz w:val="22"/>
        </w:rPr>
        <w:t xml:space="preserve">(208) provided the operator submits a complete application that meets the requirements of rule </w:t>
      </w:r>
      <w:hyperlink r:id="rId28">
        <w:r>
          <w:rPr>
            <w:rStyle w:val="Hyperlink"/>
            <w:rFonts w:ascii="Times New Roman" w:hAnsi="Times New Roman"/>
            <w:b w:val="false"/>
            <w:i w:val="false"/>
            <w:color w:val="000000"/>
            <w:sz w:val="22"/>
          </w:rPr>
          <w:t>27—60.85</w:t>
        </w:r>
      </w:hyperlink>
      <w:r>
        <w:rPr>
          <w:rFonts w:ascii="Times New Roman" w:hAnsi="Times New Roman"/>
          <w:b w:val="false"/>
          <w:i w:val="false"/>
          <w:color w:val="000000"/>
          <w:sz w:val="22"/>
        </w:rPr>
        <w:t>(208). Examples of variances would include wetland areas, building sites, or use of overburden materials for protective berms and screens.</w:t>
      </w:r>
    </w:p>
    <w:p>
      <w:pPr>
        <w:spacing w:before="210" w:after="0"/>
        <w:ind w:left="120"/>
        <w:jc w:val="both"/>
      </w:pPr>
      <w:r>
        <w:rPr>
          <w:rFonts w:ascii="Times New Roman" w:hAnsi="Times New Roman"/>
          <w:b/>
          <w:i w:val="false"/>
          <w:color w:val="000000"/>
          <w:sz w:val="22"/>
        </w:rPr>
        <w:t>27—60.81</w:t>
      </w:r>
      <w:r>
        <w:rPr>
          <w:rFonts w:ascii="Times New Roman" w:hAnsi="Times New Roman"/>
          <w:b w:val="false"/>
          <w:i w:val="false"/>
          <w:color w:val="000000"/>
          <w:sz w:val="22"/>
        </w:rPr>
        <w:t xml:space="preserve"> to </w:t>
      </w:r>
      <w:r>
        <w:rPr>
          <w:rFonts w:ascii="Times New Roman" w:hAnsi="Times New Roman"/>
          <w:b/>
          <w:i w:val="false"/>
          <w:color w:val="000000"/>
          <w:sz w:val="22"/>
        </w:rPr>
        <w:t>60.84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27—60.85</w:t>
      </w:r>
      <w:r>
        <w:rPr>
          <w:rFonts w:ascii="Times New Roman" w:hAnsi="Times New Roman"/>
          <w:b/>
          <w:i w:val="false"/>
          <w:color w:val="000000"/>
          <w:sz w:val="22"/>
        </w:rPr>
        <w:t xml:space="preserve">(208) </w:t>
      </w:r>
      <w:r>
        <w:rPr>
          <w:rFonts w:ascii="Times New Roman" w:hAnsi="Times New Roman"/>
          <w:b/>
          <w:i w:val="false"/>
          <w:color w:val="000000"/>
          <w:sz w:val="22"/>
        </w:rPr>
        <w:t xml:space="preserve">Criteria for variance application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60.85(1)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variance. </w:t>
      </w:r>
      <w:r>
        <w:rPr>
          <w:rFonts w:ascii="Times New Roman" w:hAnsi="Times New Roman"/>
          <w:b w:val="false"/>
          <w:i w:val="false"/>
          <w:color w:val="000000"/>
          <w:sz w:val="22"/>
        </w:rPr>
        <w:t>A complete application for a variance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Site name, registration number, and location by county, township, range, section and quarter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an aerial photograph or a topographic map of the site on an 8½- × 11-inch page, in a scale not less than 1 to 24,000 (2½″ to the mile), showing the areas to be affected by the proposed encroachment.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reclamation plan which will address the final grading and revegetation for the area in question and a statement as to the postmining land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for current owner or owners of property adjacent to the area for which the variance is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Estimated time period when the mineral extraction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brief narrative stating why the variance is being sought and how adverse effects of mining will be mitigated.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information requested by the division as needed for clarification.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Additional bond, if determined to be necessary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60.85(2)</w:t>
      </w:r>
      <w:r>
        <w:rPr>
          <w:rFonts w:ascii="Times New Roman" w:hAnsi="Times New Roman"/>
          <w:b w:val="false"/>
          <w:i w:val="false"/>
          <w:color w:val="000000"/>
          <w:sz w:val="22"/>
        </w:rPr>
        <w:t> </w:t>
      </w:r>
      <w:r>
        <w:rPr>
          <w:rFonts w:ascii="Times New Roman" w:hAnsi="Times New Roman"/>
          <w:b w:val="false"/>
          <w:i/>
          <w:color w:val="000000"/>
          <w:sz w:val="22"/>
        </w:rPr>
        <w:t xml:space="preserve">Criteria for approval of a variance. </w:t>
      </w:r>
      <w:r>
        <w:rPr>
          <w:rFonts w:ascii="Times New Roman" w:hAnsi="Times New Roman"/>
          <w:b w:val="false"/>
          <w:i w:val="false"/>
          <w:color w:val="000000"/>
          <w:sz w:val="22"/>
        </w:rPr>
        <w:t>A variance filed with the division shall be approved or disapproved within 30 days of receiving a completed application for a variance.</w:t>
      </w:r>
    </w:p>
    <w:p>
      <w:pPr>
        <w:spacing w:before="0" w:after="0"/>
        <w:ind w:left="120"/>
        <w:jc w:val="both"/>
      </w:pPr>
      <w:r>
        <w:rPr>
          <w:rFonts w:ascii="Times New Roman" w:hAnsi="Times New Roman"/>
          <w:b w:val="false"/>
          <w:i w:val="false"/>
          <w:color w:val="000000"/>
          <w:sz w:val="22"/>
        </w:rPr>
        <w:t>In either approving or disapproving the variance request, the division will consider the reclamation plan, the postmining land use, the effects on the adjacent properties, the extent to which reclamation requirements are being met, and other relevant factors.</w:t>
      </w:r>
    </w:p>
    <w:p>
      <w:pPr>
        <w:spacing w:before="210" w:after="0"/>
        <w:ind w:left="120"/>
        <w:jc w:val="both"/>
      </w:pPr>
      <w:r>
        <w:rPr>
          <w:rFonts w:ascii="Times New Roman" w:hAnsi="Times New Roman"/>
          <w:b/>
          <w:i w:val="false"/>
          <w:color w:val="000000"/>
          <w:sz w:val="22"/>
        </w:rPr>
        <w:t>27—60.86</w:t>
      </w:r>
      <w:r>
        <w:rPr>
          <w:rFonts w:ascii="Times New Roman" w:hAnsi="Times New Roman"/>
          <w:b w:val="false"/>
          <w:i w:val="false"/>
          <w:color w:val="000000"/>
          <w:sz w:val="22"/>
        </w:rPr>
        <w:t xml:space="preserve"> to </w:t>
      </w:r>
      <w:r>
        <w:rPr>
          <w:rFonts w:ascii="Times New Roman" w:hAnsi="Times New Roman"/>
          <w:b/>
          <w:i w:val="false"/>
          <w:color w:val="000000"/>
          <w:sz w:val="22"/>
        </w:rPr>
        <w:t>60.89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27—60.90</w:t>
      </w:r>
      <w:r>
        <w:rPr>
          <w:rFonts w:ascii="Times New Roman" w:hAnsi="Times New Roman"/>
          <w:b/>
          <w:i w:val="false"/>
          <w:color w:val="000000"/>
          <w:sz w:val="22"/>
        </w:rPr>
        <w:t xml:space="preserve">(208) </w:t>
      </w:r>
      <w:r>
        <w:rPr>
          <w:rFonts w:ascii="Times New Roman" w:hAnsi="Times New Roman"/>
          <w:b/>
          <w:i w:val="false"/>
          <w:color w:val="000000"/>
          <w:sz w:val="22"/>
        </w:rPr>
        <w:t xml:space="preserve">Administrative orders and assessment of penalties. </w:t>
      </w:r>
      <w:r>
        <w:rPr>
          <w:rFonts w:ascii="Times New Roman" w:hAnsi="Times New Roman"/>
          <w:b w:val="false"/>
          <w:i w:val="false"/>
          <w:color w:val="000000"/>
          <w:sz w:val="22"/>
        </w:rPr>
        <w:t>The division may issue an administrative order directing an operator to desist in an activity or practice which constitutes a violation of these rules or to take corrective action to abate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60.90(1)</w:t>
      </w:r>
      <w:r>
        <w:rPr>
          <w:rFonts w:ascii="Times New Roman" w:hAnsi="Times New Roman"/>
          <w:b w:val="false"/>
          <w:i w:val="false"/>
          <w:color w:val="000000"/>
          <w:sz w:val="22"/>
        </w:rPr>
        <w:t> </w:t>
      </w:r>
      <w:r>
        <w:rPr>
          <w:rFonts w:ascii="Times New Roman" w:hAnsi="Times New Roman"/>
          <w:b w:val="false"/>
          <w:i/>
          <w:color w:val="000000"/>
          <w:sz w:val="22"/>
        </w:rPr>
        <w:t xml:space="preserve">Issuance of administrative order. </w:t>
      </w:r>
      <w:r>
        <w:rPr>
          <w:rFonts w:ascii="Times New Roman" w:hAnsi="Times New Roman"/>
          <w:b w:val="false"/>
          <w:i w:val="false"/>
          <w:color w:val="000000"/>
          <w:sz w:val="22"/>
        </w:rPr>
        <w:t>Any administrative order issued by the division shall be signed by the division administrator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violation or violations being addressed, including a citation to each rule or provision being violated, a summary of the facts and legal requirements, and a general rationale for the prescribed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corrective measures or actions required to abate the violation or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time period for commencing and completing corrective actions called for in the administrative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proposed penalty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time allowed for filing an appeal to contest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60.90(2)</w:t>
      </w:r>
      <w:r>
        <w:rPr>
          <w:rFonts w:ascii="Times New Roman" w:hAnsi="Times New Roman"/>
          <w:b w:val="false"/>
          <w:i w:val="false"/>
          <w:color w:val="000000"/>
          <w:sz w:val="22"/>
        </w:rPr>
        <w:t> </w:t>
      </w:r>
      <w:r>
        <w:rPr>
          <w:rFonts w:ascii="Times New Roman" w:hAnsi="Times New Roman"/>
          <w:b w:val="false"/>
          <w:i/>
          <w:color w:val="000000"/>
          <w:sz w:val="22"/>
        </w:rPr>
        <w:t xml:space="preserve">Assessment of penalty. </w:t>
      </w:r>
      <w:r>
        <w:rPr>
          <w:rFonts w:ascii="Times New Roman" w:hAnsi="Times New Roman"/>
          <w:b w:val="false"/>
          <w:i w:val="false"/>
          <w:color w:val="000000"/>
          <w:sz w:val="22"/>
        </w:rPr>
        <w:t>An administrative order issued by the division shall include a proposed penalty assessment for the violation or violations being cited. The proposed penalty called for in the order shall not exceed $5,000 for each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point system will be used in assessing each violation. Criteria for assigning points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history, up to 20 points may be assigned based on the history of previous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seriousness,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Up to 20 points may be assigned based on the seriousness of the violation in terms of its potential or actual damage,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Up to 15 points may be assigned for a violation of the administrative requirements of these rules. Administrative requirements would include items such as license and registration, payment of fees, posting of signs, and submittal of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negligence, up to 10 points may be assigned on the basis of negligence on the part of the operator to whom the order is issued for failing to correct the cause of the violation. Up to 25 points may be assigned for a violation that occurs through a greater degree of fault than negligence, which means reckless, knowing, or intentional conduct. The division may also consider the degree to which the operator gained an economic benefit as a result of failing to comply with these regulations.</w:t>
      </w:r>
    </w:p>
    <w:p>
      <w:pPr>
        <w:spacing w:before="0" w:after="0"/>
        <w:ind w:left="120"/>
        <w:jc w:val="both"/>
      </w:pPr>
      <w:r>
        <w:rPr>
          <w:rFonts w:ascii="Times New Roman" w:hAnsi="Times New Roman"/>
          <w:b w:val="false"/>
          <w:i w:val="false"/>
          <w:color w:val="000000"/>
          <w:sz w:val="22"/>
        </w:rPr>
        <w:t>A reduction of the assigned points by up to 20 points may be allowed for good-faith efforts by the operator to achieve better than normal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dollar value for points assigned shall be $20 for each point from 1 to 25 and $100 for each point thereafter to a maximum of 70 points. An abridged table summarizing dollar values for point assessments is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525"/>
        <w:gridCol w:w="2320"/>
        <w:gridCol w:w="1501"/>
        <w:gridCol w:w="2524"/>
        <w:gridCol w:w="2320"/>
      </w:tblGrid>
      <w:tr>
        <w:trPr>
          <w:trHeight w:val="225" w:hRule="atLeast"/>
        </w:trPr>
        <w:tc>
          <w:tcPr>
            <w:tcW w:w="252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Points</w:t>
            </w:r>
          </w:p>
        </w:tc>
        <w:tc>
          <w:tcPr>
            <w:tcW w:w="23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501" w:type="dxa"/>
            <w:tcBorders>
              <w:bottom w:val="single" w:color="000000" w:sz="8"/>
              <w:right w:val="single" w:color="000000" w:sz="8"/>
            </w:tcBorders>
            <w:shd w:fill="d0d0d0"/>
            <w:tcMar>
              <w:top w:w="30" w:type="dxa"/>
              <w:left w:w="30" w:type="dxa"/>
              <w:bottom w:w="15" w:type="dxa"/>
              <w:right w:w="30" w:type="dxa"/>
            </w:tcMar>
            <w:vAlign w:val="top"/>
          </w:tcPr>
          <w:p/>
        </w:tc>
        <w:tc>
          <w:tcPr>
            <w:tcW w:w="25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Points</w:t>
            </w:r>
          </w:p>
        </w:tc>
        <w:tc>
          <w:tcPr>
            <w:tcW w:w="232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r>
      <w:tr>
        <w:trPr>
          <w:trHeight w:val="225" w:hRule="atLeast"/>
        </w:trPr>
        <w:tc>
          <w:tcPr>
            <w:tcW w:w="252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w:t>
            </w:r>
          </w:p>
        </w:tc>
        <w:tc>
          <w:tcPr>
            <w:tcW w:w="23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w:t>
            </w:r>
          </w:p>
        </w:tc>
        <w:tc>
          <w:tcPr>
            <w:tcW w:w="1501" w:type="dxa"/>
            <w:tcBorders>
              <w:bottom w:val="single" w:color="000000" w:sz="8"/>
              <w:right w:val="single" w:color="000000" w:sz="8"/>
            </w:tcBorders>
            <w:shd w:fill="d0d0d0"/>
            <w:tcMar>
              <w:top w:w="30" w:type="dxa"/>
              <w:left w:w="30" w:type="dxa"/>
              <w:bottom w:w="15" w:type="dxa"/>
              <w:right w:w="30" w:type="dxa"/>
            </w:tcMar>
            <w:vAlign w:val="top"/>
          </w:tcPr>
          <w:p/>
        </w:tc>
        <w:tc>
          <w:tcPr>
            <w:tcW w:w="252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w:t>
            </w:r>
          </w:p>
        </w:tc>
        <w:tc>
          <w:tcPr>
            <w:tcW w:w="232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2,000</w:t>
            </w:r>
          </w:p>
        </w:tc>
      </w:tr>
      <w:tr>
        <w:trPr>
          <w:trHeight w:val="225" w:hRule="atLeast"/>
        </w:trPr>
        <w:tc>
          <w:tcPr>
            <w:tcW w:w="252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w:t>
            </w:r>
          </w:p>
        </w:tc>
        <w:tc>
          <w:tcPr>
            <w:tcW w:w="23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w:t>
            </w:r>
          </w:p>
        </w:tc>
        <w:tc>
          <w:tcPr>
            <w:tcW w:w="1501" w:type="dxa"/>
            <w:tcBorders>
              <w:bottom w:val="single" w:color="000000" w:sz="8"/>
              <w:right w:val="single" w:color="000000" w:sz="8"/>
            </w:tcBorders>
            <w:shd w:fill="d0d0d0"/>
            <w:tcMar>
              <w:top w:w="30" w:type="dxa"/>
              <w:left w:w="30" w:type="dxa"/>
              <w:bottom w:w="15" w:type="dxa"/>
              <w:right w:w="30" w:type="dxa"/>
            </w:tcMar>
            <w:vAlign w:val="top"/>
          </w:tcPr>
          <w:p/>
        </w:tc>
        <w:tc>
          <w:tcPr>
            <w:tcW w:w="252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c>
          <w:tcPr>
            <w:tcW w:w="232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2,500</w:t>
            </w:r>
          </w:p>
        </w:tc>
      </w:tr>
      <w:tr>
        <w:trPr>
          <w:trHeight w:val="225" w:hRule="atLeast"/>
        </w:trPr>
        <w:tc>
          <w:tcPr>
            <w:tcW w:w="252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w:t>
            </w:r>
          </w:p>
        </w:tc>
        <w:tc>
          <w:tcPr>
            <w:tcW w:w="23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300</w:t>
            </w:r>
          </w:p>
        </w:tc>
        <w:tc>
          <w:tcPr>
            <w:tcW w:w="1501" w:type="dxa"/>
            <w:tcBorders>
              <w:bottom w:val="single" w:color="000000" w:sz="8"/>
              <w:right w:val="single" w:color="000000" w:sz="8"/>
            </w:tcBorders>
            <w:shd w:fill="d0d0d0"/>
            <w:tcMar>
              <w:top w:w="30" w:type="dxa"/>
              <w:left w:w="30" w:type="dxa"/>
              <w:bottom w:w="15" w:type="dxa"/>
              <w:right w:w="30" w:type="dxa"/>
            </w:tcMar>
            <w:vAlign w:val="top"/>
          </w:tcPr>
          <w:p/>
        </w:tc>
        <w:tc>
          <w:tcPr>
            <w:tcW w:w="252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c>
          <w:tcPr>
            <w:tcW w:w="232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3,000</w:t>
            </w:r>
          </w:p>
        </w:tc>
      </w:tr>
      <w:tr>
        <w:trPr>
          <w:trHeight w:val="225" w:hRule="atLeast"/>
        </w:trPr>
        <w:tc>
          <w:tcPr>
            <w:tcW w:w="252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w:t>
            </w:r>
          </w:p>
        </w:tc>
        <w:tc>
          <w:tcPr>
            <w:tcW w:w="23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400</w:t>
            </w:r>
          </w:p>
        </w:tc>
        <w:tc>
          <w:tcPr>
            <w:tcW w:w="1501" w:type="dxa"/>
            <w:tcBorders>
              <w:bottom w:val="single" w:color="000000" w:sz="8"/>
              <w:right w:val="single" w:color="000000" w:sz="8"/>
            </w:tcBorders>
            <w:shd w:fill="d0d0d0"/>
            <w:tcMar>
              <w:top w:w="30" w:type="dxa"/>
              <w:left w:w="30" w:type="dxa"/>
              <w:bottom w:w="15" w:type="dxa"/>
              <w:right w:w="30" w:type="dxa"/>
            </w:tcMar>
            <w:vAlign w:val="top"/>
          </w:tcPr>
          <w:p/>
        </w:tc>
        <w:tc>
          <w:tcPr>
            <w:tcW w:w="252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w:t>
            </w:r>
          </w:p>
        </w:tc>
        <w:tc>
          <w:tcPr>
            <w:tcW w:w="232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3,500</w:t>
            </w:r>
          </w:p>
        </w:tc>
      </w:tr>
      <w:tr>
        <w:trPr>
          <w:trHeight w:val="225" w:hRule="atLeast"/>
        </w:trPr>
        <w:tc>
          <w:tcPr>
            <w:tcW w:w="252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25</w:t>
            </w:r>
          </w:p>
        </w:tc>
        <w:tc>
          <w:tcPr>
            <w:tcW w:w="23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500</w:t>
            </w:r>
          </w:p>
        </w:tc>
        <w:tc>
          <w:tcPr>
            <w:tcW w:w="1501" w:type="dxa"/>
            <w:tcBorders>
              <w:bottom w:val="single" w:color="000000" w:sz="8"/>
              <w:right w:val="single" w:color="000000" w:sz="8"/>
            </w:tcBorders>
            <w:shd w:fill="d0d0d0"/>
            <w:tcMar>
              <w:top w:w="30" w:type="dxa"/>
              <w:left w:w="30" w:type="dxa"/>
              <w:bottom w:w="15" w:type="dxa"/>
              <w:right w:w="30" w:type="dxa"/>
            </w:tcMar>
            <w:vAlign w:val="top"/>
          </w:tcPr>
          <w:p/>
        </w:tc>
        <w:tc>
          <w:tcPr>
            <w:tcW w:w="252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60</w:t>
            </w:r>
          </w:p>
        </w:tc>
        <w:tc>
          <w:tcPr>
            <w:tcW w:w="232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4,000</w:t>
            </w:r>
          </w:p>
        </w:tc>
      </w:tr>
      <w:tr>
        <w:trPr>
          <w:trHeight w:val="225" w:hRule="atLeast"/>
        </w:trPr>
        <w:tc>
          <w:tcPr>
            <w:tcW w:w="252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30</w:t>
            </w:r>
          </w:p>
        </w:tc>
        <w:tc>
          <w:tcPr>
            <w:tcW w:w="23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1,000</w:t>
            </w:r>
          </w:p>
        </w:tc>
        <w:tc>
          <w:tcPr>
            <w:tcW w:w="1501" w:type="dxa"/>
            <w:tcBorders>
              <w:bottom w:val="single" w:color="000000" w:sz="8"/>
              <w:right w:val="single" w:color="000000" w:sz="8"/>
            </w:tcBorders>
            <w:shd w:fill="d0d0d0"/>
            <w:tcMar>
              <w:top w:w="30" w:type="dxa"/>
              <w:left w:w="30" w:type="dxa"/>
              <w:bottom w:w="15" w:type="dxa"/>
              <w:right w:w="30" w:type="dxa"/>
            </w:tcMar>
            <w:vAlign w:val="top"/>
          </w:tcPr>
          <w:p/>
        </w:tc>
        <w:tc>
          <w:tcPr>
            <w:tcW w:w="252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70 and above</w:t>
            </w:r>
          </w:p>
        </w:tc>
        <w:tc>
          <w:tcPr>
            <w:tcW w:w="2320"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5,000</w:t>
            </w:r>
          </w:p>
        </w:tc>
      </w:tr>
      <w:tr>
        <w:trPr>
          <w:trHeight w:val="225" w:hRule="atLeast"/>
        </w:trPr>
        <w:tc>
          <w:tcPr>
            <w:tcW w:w="2525" w:type="dxa"/>
            <w:tcBorders>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35</w:t>
            </w:r>
          </w:p>
        </w:tc>
        <w:tc>
          <w:tcPr>
            <w:tcW w:w="2320" w:type="dxa"/>
            <w:tcBorders>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1,500</w:t>
            </w:r>
          </w:p>
        </w:tc>
        <w:tc>
          <w:tcPr>
            <w:tcW w:w="1501" w:type="dxa"/>
            <w:tcBorders>
              <w:right w:val="single" w:color="000000" w:sz="8"/>
            </w:tcBorders>
            <w:shd w:fill="d0d0d0"/>
            <w:tcMar>
              <w:top w:w="30" w:type="dxa"/>
              <w:left w:w="30" w:type="dxa"/>
              <w:bottom w:w="15" w:type="dxa"/>
              <w:right w:w="30" w:type="dxa"/>
            </w:tcMar>
            <w:vAlign w:val="top"/>
          </w:tcPr>
          <w:p/>
        </w:tc>
        <w:tc>
          <w:tcPr>
            <w:tcW w:w="252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penalty will be 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division may assess a penalty for a proposed order that becomes a final order when 30 or fewer points are assigned to the administrative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division shall assess a penalty for a proposed assessment that becomes a final order when 31 or more points are assigned to the administrative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proposed assessment worksheet shall accompany each administrative order issued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60.90(3)</w:t>
      </w:r>
      <w:r>
        <w:rPr>
          <w:rFonts w:ascii="Times New Roman" w:hAnsi="Times New Roman"/>
          <w:b w:val="false"/>
          <w:i w:val="false"/>
          <w:color w:val="000000"/>
          <w:sz w:val="22"/>
        </w:rPr>
        <w:t> </w:t>
      </w:r>
      <w:r>
        <w:rPr>
          <w:rFonts w:ascii="Times New Roman" w:hAnsi="Times New Roman"/>
          <w:b w:val="false"/>
          <w:i/>
          <w:color w:val="000000"/>
          <w:sz w:val="22"/>
        </w:rPr>
        <w:t xml:space="preserve">Waiver of point system. </w:t>
      </w:r>
      <w:r>
        <w:rPr>
          <w:rFonts w:ascii="Times New Roman" w:hAnsi="Times New Roman"/>
          <w:b w:val="false"/>
          <w:i w:val="false"/>
          <w:color w:val="000000"/>
          <w:sz w:val="22"/>
        </w:rPr>
        <w:t>Upon the division administrator’s own initiative or upon written request from an operator within 15 days of receipt of an administrative order, the division may waive the use of the point system as a means of determining a proposed penalty. In so doing, the administrator must determine that the penalty is demonstrably unjust based upon factors present in the particular case.</w:t>
      </w:r>
    </w:p>
    <w:p>
      <w:pPr>
        <w:spacing w:before="0" w:after="0"/>
        <w:ind w:left="120"/>
        <w:jc w:val="both"/>
      </w:pPr>
      <w:r>
        <w:rPr>
          <w:rFonts w:ascii="Times New Roman" w:hAnsi="Times New Roman"/>
          <w:b w:val="false"/>
          <w:i w:val="false"/>
          <w:color w:val="000000"/>
          <w:sz w:val="22"/>
        </w:rPr>
        <w:t>When the division has waived the use of the point system in determining a penalty, the division administrator shall document the basis for the waiver in the case record and shall also provide a written explanation of the basis for the assessment made to the operator to whom the administrative order was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60.90(4)</w:t>
      </w:r>
      <w:r>
        <w:rPr>
          <w:rFonts w:ascii="Times New Roman" w:hAnsi="Times New Roman"/>
          <w:b w:val="false"/>
          <w:i w:val="false"/>
          <w:color w:val="000000"/>
          <w:sz w:val="22"/>
        </w:rPr>
        <w:t> </w:t>
      </w:r>
      <w:r>
        <w:rPr>
          <w:rFonts w:ascii="Times New Roman" w:hAnsi="Times New Roman"/>
          <w:b w:val="false"/>
          <w:i/>
          <w:color w:val="000000"/>
          <w:sz w:val="22"/>
        </w:rPr>
        <w:t xml:space="preserve">Submittal of information. </w:t>
      </w:r>
      <w:r>
        <w:rPr>
          <w:rFonts w:ascii="Times New Roman" w:hAnsi="Times New Roman"/>
          <w:b w:val="false"/>
          <w:i w:val="false"/>
          <w:color w:val="000000"/>
          <w:sz w:val="22"/>
        </w:rPr>
        <w:t>Within 15 days of receipt of an administrative order, an operator may provide the division information about the violation or violations addressed in the order. The division will consider any such information in determining the facts of the violation or violations and the amount of the final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60.90(5)</w:t>
      </w:r>
      <w:r>
        <w:rPr>
          <w:rFonts w:ascii="Times New Roman" w:hAnsi="Times New Roman"/>
          <w:b w:val="false"/>
          <w:i w:val="false"/>
          <w:color w:val="000000"/>
          <w:sz w:val="22"/>
        </w:rPr>
        <w:t> </w:t>
      </w:r>
      <w:r>
        <w:rPr>
          <w:rFonts w:ascii="Times New Roman" w:hAnsi="Times New Roman"/>
          <w:b w:val="false"/>
          <w:i/>
          <w:color w:val="000000"/>
          <w:sz w:val="22"/>
        </w:rPr>
        <w:t xml:space="preserve">Final assessment and payment of penalty.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an appeal contesting the administrative order has been received, the proposed assessment shall become a final order within 30 days following service of the administrative order and the penalty assessed shall become due and payable. If the administrative order is appealed, the proposed assessment shall become a final order and the penalty assessed due and payable within 30 days following service of a final decision on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penalties shall be paid within 30 days of the date that the order assessing the penalty becomes final. An operator who fails to pay an administrative penalty assessed by a final order of the division shall pay, in addition, interest at the rate of 1½ percent of the unpaid balance of the assessed penalty for each month or part of a month that the penalty remains unpaid.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pay all penalties within 30 days of the date that the order assessing the penalty becomes final shall constitute a violation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division may request the attorney general to institute proceedings to recover all penalties assessed in the event of failure of the operator to make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60.90(6)</w:t>
      </w:r>
      <w:r>
        <w:rPr>
          <w:rFonts w:ascii="Times New Roman" w:hAnsi="Times New Roman"/>
          <w:b w:val="false"/>
          <w:i w:val="false"/>
          <w:color w:val="000000"/>
          <w:sz w:val="22"/>
        </w:rPr>
        <w:t> </w:t>
      </w:r>
      <w:r>
        <w:rPr>
          <w:rFonts w:ascii="Times New Roman" w:hAnsi="Times New Roman"/>
          <w:b w:val="false"/>
          <w:i/>
          <w:color w:val="000000"/>
          <w:sz w:val="22"/>
        </w:rPr>
        <w:t xml:space="preserve">Deposit of penalty moneys. </w:t>
      </w:r>
      <w:r>
        <w:rPr>
          <w:rFonts w:ascii="Times New Roman" w:hAnsi="Times New Roman"/>
          <w:b w:val="false"/>
          <w:i w:val="false"/>
          <w:color w:val="000000"/>
          <w:sz w:val="22"/>
        </w:rPr>
        <w:t>Penalties collected under the provisions of these rules shall be deposited in an interest-bearing account and may be used for the cost and administrative expenses of reclamation or rehabilitation activities for any mine site as deemed necessary and appropriate by the division.</w:t>
      </w:r>
    </w:p>
    <w:p>
      <w:pPr>
        <w:spacing w:before="210" w:after="0"/>
        <w:ind w:left="120"/>
        <w:jc w:val="both"/>
      </w:pPr>
      <w:r>
        <w:rPr>
          <w:rFonts w:ascii="Times New Roman" w:hAnsi="Times New Roman"/>
          <w:b/>
          <w:i w:val="false"/>
          <w:color w:val="000000"/>
          <w:sz w:val="22"/>
        </w:rPr>
        <w:t>27—60.91</w:t>
      </w:r>
      <w:r>
        <w:rPr>
          <w:rFonts w:ascii="Times New Roman" w:hAnsi="Times New Roman"/>
          <w:b w:val="false"/>
          <w:i w:val="false"/>
          <w:color w:val="000000"/>
          <w:sz w:val="22"/>
        </w:rPr>
        <w:t xml:space="preserve"> to </w:t>
      </w:r>
      <w:r>
        <w:rPr>
          <w:rFonts w:ascii="Times New Roman" w:hAnsi="Times New Roman"/>
          <w:b/>
          <w:i w:val="false"/>
          <w:color w:val="000000"/>
          <w:sz w:val="22"/>
        </w:rPr>
        <w:t>60.94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27—60.95</w:t>
      </w:r>
      <w:r>
        <w:rPr>
          <w:rFonts w:ascii="Times New Roman" w:hAnsi="Times New Roman"/>
          <w:b/>
          <w:i w:val="false"/>
          <w:color w:val="000000"/>
          <w:sz w:val="22"/>
        </w:rPr>
        <w:t xml:space="preserve">(208) </w:t>
      </w:r>
      <w:r>
        <w:rPr>
          <w:rFonts w:ascii="Times New Roman" w:hAnsi="Times New Roman"/>
          <w:b/>
          <w:i w:val="false"/>
          <w:color w:val="000000"/>
          <w:sz w:val="22"/>
        </w:rPr>
        <w:t xml:space="preserve">Forms. </w:t>
      </w:r>
    </w:p>
    <w:p>
      <w:pPr>
        <w:spacing w:before="0" w:after="0"/>
        <w:ind w:left="120"/>
        <w:jc w:val="both"/>
      </w:pPr>
      <w:r>
        <w:rPr>
          <w:rFonts w:ascii="Times New Roman" w:hAnsi="Times New Roman"/>
          <w:b w:val="false"/>
          <w:i/>
          <w:color w:val="000000"/>
          <w:sz w:val="22"/>
        </w:rPr>
        <w:t>Annual Mine Report.</w:t>
      </w:r>
      <w:r>
        <w:rPr>
          <w:rFonts w:ascii="Times New Roman" w:hAnsi="Times New Roman"/>
          <w:b w:val="false"/>
          <w:i w:val="false"/>
          <w:color w:val="000000"/>
          <w:sz w:val="22"/>
        </w:rPr>
        <w:t xml:space="preserve"> This two-sided, one-page form requires identification of the operator and legal description of the mine site. This form requests a listing of the number of acres affected during the report year, the number of acres reclaimed, the number of acres estimated to be affected in the coming year and the number of acres presently bonded.</w:t>
      </w:r>
    </w:p>
    <w:p>
      <w:pPr>
        <w:spacing w:before="0" w:after="0"/>
        <w:ind w:left="120"/>
        <w:jc w:val="both"/>
      </w:pPr>
      <w:r>
        <w:rPr>
          <w:rFonts w:ascii="Times New Roman" w:hAnsi="Times New Roman"/>
          <w:b w:val="false"/>
          <w:i/>
          <w:color w:val="000000"/>
          <w:sz w:val="22"/>
        </w:rPr>
        <w:t>Assignment Form.</w:t>
      </w:r>
      <w:r>
        <w:rPr>
          <w:rFonts w:ascii="Times New Roman" w:hAnsi="Times New Roman"/>
          <w:b w:val="false"/>
          <w:i w:val="false"/>
          <w:color w:val="000000"/>
          <w:sz w:val="22"/>
        </w:rPr>
        <w:t xml:space="preserve"> This one-page form will be used by the operator to assign a certificate of deposit (CD) to the division when the CD is used in lieu of a surety bond or by the division to assign a CD to the operator, when the division is releasing a CD to the operator.</w:t>
      </w:r>
    </w:p>
    <w:p>
      <w:pPr>
        <w:spacing w:before="0" w:after="0"/>
        <w:ind w:left="120"/>
        <w:jc w:val="both"/>
      </w:pPr>
      <w:r>
        <w:rPr>
          <w:rFonts w:ascii="Times New Roman" w:hAnsi="Times New Roman"/>
          <w:b w:val="false"/>
          <w:i/>
          <w:color w:val="000000"/>
          <w:sz w:val="22"/>
        </w:rPr>
        <w:t>Bonding Form.</w:t>
      </w:r>
      <w:r>
        <w:rPr>
          <w:rFonts w:ascii="Times New Roman" w:hAnsi="Times New Roman"/>
          <w:b w:val="false"/>
          <w:i w:val="false"/>
          <w:color w:val="000000"/>
          <w:sz w:val="22"/>
        </w:rPr>
        <w:t xml:space="preserve"> This one-page form identifies the operator and the bonding company, lists the amount of the bond, the operator’s license number, the bond number, the enforcement date, the surety’s mailing address and provides for notarization of the signature for the surety.</w:t>
      </w:r>
    </w:p>
    <w:p>
      <w:pPr>
        <w:spacing w:before="0" w:after="0"/>
        <w:ind w:left="120"/>
        <w:jc w:val="both"/>
      </w:pPr>
      <w:r>
        <w:rPr>
          <w:rFonts w:ascii="Times New Roman" w:hAnsi="Times New Roman"/>
          <w:b w:val="false"/>
          <w:i/>
          <w:color w:val="000000"/>
          <w:sz w:val="22"/>
        </w:rPr>
        <w:t>Interest Release Form.</w:t>
      </w:r>
      <w:r>
        <w:rPr>
          <w:rFonts w:ascii="Times New Roman" w:hAnsi="Times New Roman"/>
          <w:b w:val="false"/>
          <w:i w:val="false"/>
          <w:color w:val="000000"/>
          <w:sz w:val="22"/>
        </w:rPr>
        <w:t xml:space="preserve"> This one-page form is used by the division to authorize banking authorities to release interest accumulated on a certificate of deposit, held in lieu of bond, to the operator.</w:t>
      </w:r>
    </w:p>
    <w:p>
      <w:pPr>
        <w:spacing w:before="0" w:after="0"/>
        <w:ind w:left="120"/>
        <w:jc w:val="both"/>
      </w:pPr>
      <w:r>
        <w:rPr>
          <w:rFonts w:ascii="Times New Roman" w:hAnsi="Times New Roman"/>
          <w:b w:val="false"/>
          <w:i/>
          <w:color w:val="000000"/>
          <w:sz w:val="22"/>
        </w:rPr>
        <w:t>License Application.</w:t>
      </w:r>
      <w:r>
        <w:rPr>
          <w:rFonts w:ascii="Times New Roman" w:hAnsi="Times New Roman"/>
          <w:b w:val="false"/>
          <w:i w:val="false"/>
          <w:color w:val="000000"/>
          <w:sz w:val="22"/>
        </w:rPr>
        <w:t xml:space="preserve"> This one-page form is used for both new applications and annual license renewals. This form serves to identify the person, firm, partnership or corporation applying for or renewing the license to mine minerals.</w:t>
      </w:r>
    </w:p>
    <w:p>
      <w:pPr>
        <w:spacing w:before="0" w:after="0"/>
        <w:ind w:left="120"/>
        <w:jc w:val="both"/>
      </w:pPr>
      <w:r>
        <w:rPr>
          <w:rFonts w:ascii="Times New Roman" w:hAnsi="Times New Roman"/>
          <w:b w:val="false"/>
          <w:i/>
          <w:color w:val="000000"/>
          <w:sz w:val="22"/>
        </w:rPr>
        <w:t>License Certificate.</w:t>
      </w:r>
      <w:r>
        <w:rPr>
          <w:rFonts w:ascii="Times New Roman" w:hAnsi="Times New Roman"/>
          <w:b w:val="false"/>
          <w:i w:val="false"/>
          <w:color w:val="000000"/>
          <w:sz w:val="22"/>
        </w:rPr>
        <w:t xml:space="preserve"> This one-page form is issued by the division upon successful application by the person, firm, partnership or corporation for a mining license.</w:t>
      </w:r>
    </w:p>
    <w:p>
      <w:pPr>
        <w:spacing w:before="0" w:after="0"/>
        <w:ind w:left="120"/>
        <w:jc w:val="both"/>
      </w:pPr>
      <w:r>
        <w:rPr>
          <w:rFonts w:ascii="Times New Roman" w:hAnsi="Times New Roman"/>
          <w:b w:val="false"/>
          <w:i/>
          <w:color w:val="000000"/>
          <w:sz w:val="22"/>
        </w:rPr>
        <w:t>Reclamation Approval Request.</w:t>
      </w:r>
      <w:r>
        <w:rPr>
          <w:rFonts w:ascii="Times New Roman" w:hAnsi="Times New Roman"/>
          <w:b w:val="false"/>
          <w:i w:val="false"/>
          <w:color w:val="000000"/>
          <w:sz w:val="22"/>
        </w:rPr>
        <w:t xml:space="preserve"> This one-page form identifies the operator and the name and location of the site. This form also requires operator certification that all reclamation work has been completed as set forth in Iowa Code sections </w:t>
      </w:r>
      <w:hyperlink r:id="rId29">
        <w:r>
          <w:rPr>
            <w:rStyle w:val="Hyperlink"/>
            <w:rFonts w:ascii="Times New Roman" w:hAnsi="Times New Roman"/>
            <w:b w:val="false"/>
            <w:i w:val="false"/>
            <w:color w:val="000000"/>
            <w:sz w:val="22"/>
          </w:rPr>
          <w:t>208.17</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208.19</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rule 27—60.80(208)</w:t>
        </w:r>
      </w:hyperlink>
      <w:r>
        <w:rPr>
          <w:rFonts w:ascii="Times New Roman" w:hAnsi="Times New Roman"/>
          <w:b w:val="false"/>
          <w:i w:val="false"/>
          <w:color w:val="000000"/>
          <w:sz w:val="22"/>
        </w:rPr>
        <w:t xml:space="preserve"> of the Iowa Administrative Code.</w:t>
      </w:r>
    </w:p>
    <w:p>
      <w:pPr>
        <w:spacing w:before="0" w:after="0"/>
        <w:ind w:left="120"/>
        <w:jc w:val="both"/>
      </w:pPr>
      <w:r>
        <w:rPr>
          <w:rFonts w:ascii="Times New Roman" w:hAnsi="Times New Roman"/>
          <w:b w:val="false"/>
          <w:i/>
          <w:color w:val="000000"/>
          <w:sz w:val="22"/>
        </w:rPr>
        <w:t>Registration Application.</w:t>
      </w:r>
      <w:r>
        <w:rPr>
          <w:rFonts w:ascii="Times New Roman" w:hAnsi="Times New Roman"/>
          <w:b w:val="false"/>
          <w:i w:val="false"/>
          <w:color w:val="000000"/>
          <w:sz w:val="22"/>
        </w:rPr>
        <w:t xml:space="preserve"> This one-page form is used by the applicant desiring to engage in surface mining. This form includes the name of the licensee, the site name and location, the material produced, the source of the operator’s legal right to mine the described area and the owner(s) of the mineral rights and the land to be surface mined.</w:t>
      </w:r>
    </w:p>
    <w:p>
      <w:pPr>
        <w:spacing w:before="0" w:after="0"/>
        <w:ind w:left="120"/>
        <w:jc w:val="both"/>
      </w:pPr>
      <w:r>
        <w:rPr>
          <w:rFonts w:ascii="Times New Roman" w:hAnsi="Times New Roman"/>
          <w:b w:val="false"/>
          <w:i/>
          <w:color w:val="000000"/>
          <w:sz w:val="22"/>
        </w:rPr>
        <w:t>Registration Certificate.</w:t>
      </w:r>
      <w:r>
        <w:rPr>
          <w:rFonts w:ascii="Times New Roman" w:hAnsi="Times New Roman"/>
          <w:b w:val="false"/>
          <w:i w:val="false"/>
          <w:color w:val="000000"/>
          <w:sz w:val="22"/>
        </w:rPr>
        <w:t xml:space="preserve"> This one-page form is issued by the division upon successful application by an operator for site registration or updated registration.</w:t>
      </w:r>
    </w:p>
    <w:p>
      <w:pPr>
        <w:spacing w:before="0" w:after="0"/>
        <w:ind w:left="120"/>
        <w:jc w:val="both"/>
      </w:pPr>
      <w:r>
        <w:rPr>
          <w:rFonts w:ascii="Times New Roman" w:hAnsi="Times New Roman"/>
          <w:b w:val="false"/>
          <w:i/>
          <w:color w:val="000000"/>
          <w:sz w:val="22"/>
        </w:rPr>
        <w:t>Request for Bond Release.</w:t>
      </w:r>
      <w:r>
        <w:rPr>
          <w:rFonts w:ascii="Times New Roman" w:hAnsi="Times New Roman"/>
          <w:b w:val="false"/>
          <w:i w:val="false"/>
          <w:color w:val="000000"/>
          <w:sz w:val="22"/>
        </w:rPr>
        <w:t xml:space="preserve"> This one-page form identifies the operator and the bonding company, lists the amount of bond and the bond number, states the reason for the release request, and provides for an approval signature by the division.</w:t>
      </w:r>
    </w:p>
    <w:p>
      <w:pPr>
        <w:spacing w:before="0" w:after="0"/>
        <w:ind w:left="120"/>
        <w:jc w:val="both"/>
      </w:pPr>
      <w:r>
        <w:rPr>
          <w:rFonts w:ascii="Times New Roman" w:hAnsi="Times New Roman"/>
          <w:b w:val="false"/>
          <w:i/>
          <w:color w:val="000000"/>
          <w:sz w:val="22"/>
        </w:rPr>
        <w:t>Transfer Application.</w:t>
      </w:r>
      <w:r>
        <w:rPr>
          <w:rFonts w:ascii="Times New Roman" w:hAnsi="Times New Roman"/>
          <w:b w:val="false"/>
          <w:i w:val="false"/>
          <w:color w:val="000000"/>
          <w:sz w:val="22"/>
        </w:rPr>
        <w:t xml:space="preserve"> This one-page form identifies the transferee and the transferor and their respective surety companies, lists the site and site location, and provides a prewritten agreement for transfer of all bonding and site reclamation responsibilities to the transferee.</w:t>
      </w:r>
    </w:p>
    <w:p>
      <w:pPr>
        <w:spacing w:before="210" w:after="0"/>
        <w:ind w:left="120"/>
        <w:jc w:val="both"/>
      </w:pPr>
      <w:r>
        <w:rPr>
          <w:rFonts w:ascii="Times New Roman" w:hAnsi="Times New Roman"/>
          <w:b/>
          <w:i w:val="false"/>
          <w:color w:val="000000"/>
          <w:sz w:val="22"/>
        </w:rPr>
        <w:t>27—60.96</w:t>
      </w:r>
      <w:r>
        <w:rPr>
          <w:rFonts w:ascii="Times New Roman" w:hAnsi="Times New Roman"/>
          <w:b w:val="false"/>
          <w:i w:val="false"/>
          <w:color w:val="000000"/>
          <w:sz w:val="22"/>
        </w:rPr>
        <w:t xml:space="preserve"> to </w:t>
      </w:r>
      <w:r>
        <w:rPr>
          <w:rFonts w:ascii="Times New Roman" w:hAnsi="Times New Roman"/>
          <w:b/>
          <w:i w:val="false"/>
          <w:color w:val="000000"/>
          <w:sz w:val="22"/>
        </w:rPr>
        <w:t>60.99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27—60.100</w:t>
      </w:r>
      <w:r>
        <w:rPr>
          <w:rFonts w:ascii="Times New Roman" w:hAnsi="Times New Roman"/>
          <w:b/>
          <w:i w:val="false"/>
          <w:color w:val="000000"/>
          <w:sz w:val="22"/>
        </w:rPr>
        <w:t xml:space="preserve">(208) </w:t>
      </w:r>
      <w:r>
        <w:rPr>
          <w:rFonts w:ascii="Times New Roman" w:hAnsi="Times New Roman"/>
          <w:b/>
          <w:i w:val="false"/>
          <w:color w:val="000000"/>
          <w:sz w:val="22"/>
        </w:rPr>
        <w:t xml:space="preserve">Political subdivisions engaged in mining. </w:t>
      </w:r>
      <w:r>
        <w:rPr>
          <w:rFonts w:ascii="Times New Roman" w:hAnsi="Times New Roman"/>
          <w:b w:val="false"/>
          <w:i w:val="false"/>
          <w:color w:val="000000"/>
          <w:sz w:val="22"/>
        </w:rPr>
        <w:t xml:space="preserve">Any political subdivision of the state of Iowa which engages in or intends to engage in operating a mine as defined under rule </w:t>
      </w:r>
      <w:hyperlink r:id="rId32">
        <w:r>
          <w:rPr>
            <w:rStyle w:val="Hyperlink"/>
            <w:rFonts w:ascii="Times New Roman" w:hAnsi="Times New Roman"/>
            <w:b w:val="false"/>
            <w:i w:val="false"/>
            <w:color w:val="000000"/>
            <w:sz w:val="22"/>
          </w:rPr>
          <w:t>27—60.12</w:t>
        </w:r>
      </w:hyperlink>
      <w:r>
        <w:rPr>
          <w:rFonts w:ascii="Times New Roman" w:hAnsi="Times New Roman"/>
          <w:b w:val="false"/>
          <w:i w:val="false"/>
          <w:color w:val="000000"/>
          <w:sz w:val="22"/>
        </w:rPr>
        <w:t xml:space="preserve">(208) shall meet all requirements of this chapter except that the subdivision shall not be required to pay the license fee under rule </w:t>
      </w:r>
      <w:hyperlink r:id="rId33">
        <w:r>
          <w:rPr>
            <w:rStyle w:val="Hyperlink"/>
            <w:rFonts w:ascii="Times New Roman" w:hAnsi="Times New Roman"/>
            <w:b w:val="false"/>
            <w:i w:val="false"/>
            <w:color w:val="000000"/>
            <w:sz w:val="22"/>
          </w:rPr>
          <w:t>27—60.20</w:t>
        </w:r>
      </w:hyperlink>
      <w:r>
        <w:rPr>
          <w:rFonts w:ascii="Times New Roman" w:hAnsi="Times New Roman"/>
          <w:b w:val="false"/>
          <w:i w:val="false"/>
          <w:color w:val="000000"/>
          <w:sz w:val="22"/>
        </w:rPr>
        <w:t xml:space="preserve">(208) and shall not be required to post bonds as required under rule </w:t>
      </w:r>
      <w:hyperlink r:id="rId34">
        <w:r>
          <w:rPr>
            <w:rStyle w:val="Hyperlink"/>
            <w:rFonts w:ascii="Times New Roman" w:hAnsi="Times New Roman"/>
            <w:b w:val="false"/>
            <w:i w:val="false"/>
            <w:color w:val="000000"/>
            <w:sz w:val="22"/>
          </w:rPr>
          <w:t>27—60.40</w:t>
        </w:r>
      </w:hyperlink>
      <w:r>
        <w:rPr>
          <w:rFonts w:ascii="Times New Roman" w:hAnsi="Times New Roman"/>
          <w:b w:val="false"/>
          <w:i w:val="false"/>
          <w:color w:val="000000"/>
          <w:sz w:val="22"/>
        </w:rPr>
        <w:t>(208). An official representative of the political subdivision shall complete a license application form for informational purposes only.</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5">
        <w:r>
          <w:rPr>
            <w:rStyle w:val="Hyperlink"/>
            <w:rFonts w:ascii="Times New Roman" w:hAnsi="Times New Roman"/>
            <w:b w:val="false"/>
            <w:i w:val="false"/>
            <w:color w:val="000000"/>
            <w:sz w:val="22"/>
          </w:rPr>
          <w:t>208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7/6/90, Notice 3/21/90—published 7/25/90, effective 9/10/90]</w:t>
      </w:r>
    </w:p>
    <w:p>
      <w:pPr>
        <w:spacing w:before="0" w:after="0"/>
        <w:ind w:left="120"/>
        <w:jc w:val="center"/>
      </w:pPr>
      <w:r>
        <w:rPr>
          <w:rFonts w:ascii="Times New Roman" w:hAnsi="Times New Roman"/>
          <w:b w:val="false"/>
          <w:i w:val="false"/>
          <w:color w:val="000000"/>
          <w:sz w:val="21"/>
        </w:rPr>
        <w:t>[Filed 5/10/91, Notice 4/3/91—published 5/29/91, effective 7/3/91]</w:t>
      </w:r>
    </w:p>
    <w:p>
      <w:pPr>
        <w:spacing w:before="0" w:after="0"/>
        <w:ind w:left="120"/>
        <w:jc w:val="center"/>
      </w:pPr>
      <w:r>
        <w:rPr>
          <w:rFonts w:ascii="Times New Roman" w:hAnsi="Times New Roman"/>
          <w:b w:val="false"/>
          <w:i w:val="false"/>
          <w:color w:val="000000"/>
          <w:sz w:val="21"/>
        </w:rPr>
        <w:t>[Filed 2/2/98, Notice 9/24/97—published 2/25/98, effective 4/1/98]</w:t>
      </w:r>
    </w:p>
    <w:p>
      <w:pPr>
        <w:spacing w:before="0" w:after="0"/>
        <w:ind w:left="120"/>
        <w:jc w:val="center"/>
      </w:pPr>
      <w:r>
        <w:rPr>
          <w:rFonts w:ascii="Times New Roman" w:hAnsi="Times New Roman"/>
          <w:b w:val="false"/>
          <w:i w:val="false"/>
          <w:color w:val="000000"/>
          <w:sz w:val="21"/>
        </w:rPr>
        <w:t>[Filed ARC 2192C</w:t>
      </w:r>
      <w:r>
        <w:rPr>
          <w:rFonts w:ascii="Times New Roman" w:hAnsi="Times New Roman"/>
          <w:b w:val="false"/>
          <w:i w:val="false"/>
          <w:color w:val="000000"/>
          <w:sz w:val="21"/>
        </w:rPr>
        <w:t xml:space="preserve"> (Notice ARC 2102C, IAB 8/19/15)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Emergency After Notice ARC 3216C</w:t>
      </w:r>
      <w:r>
        <w:rPr>
          <w:rFonts w:ascii="Times New Roman" w:hAnsi="Times New Roman"/>
          <w:b w:val="false"/>
          <w:i w:val="false"/>
          <w:color w:val="000000"/>
          <w:sz w:val="21"/>
        </w:rPr>
        <w:t xml:space="preserve"> (Notice ARC 3067C, IAB 5/24/17)</w:t>
      </w:r>
      <w:r>
        <w:rPr>
          <w:rFonts w:ascii="Times New Roman" w:hAnsi="Times New Roman"/>
          <w:b w:val="false"/>
          <w:i w:val="false"/>
          <w:color w:val="000000"/>
          <w:sz w:val="21"/>
        </w:rPr>
        <w:t>, IAB 7/19/17, effective 7/1/17]</w:t>
      </w:r>
    </w:p>
    <w:p>
      <w:pPr>
        <w:spacing w:before="0" w:after="0"/>
        <w:ind w:left="120"/>
        <w:jc w:val="center"/>
      </w:pPr>
      <w:r>
        <w:rPr>
          <w:rFonts w:ascii="Times New Roman" w:hAnsi="Times New Roman"/>
          <w:b w:val="false"/>
          <w:i w:val="false"/>
          <w:color w:val="000000"/>
          <w:sz w:val="21"/>
        </w:rPr>
        <w:t>[Filed ARC 3243C</w:t>
      </w:r>
      <w:r>
        <w:rPr>
          <w:rFonts w:ascii="Times New Roman" w:hAnsi="Times New Roman"/>
          <w:b w:val="false"/>
          <w:i w:val="false"/>
          <w:color w:val="000000"/>
          <w:sz w:val="21"/>
        </w:rPr>
        <w:t xml:space="preserve"> (Notice ARC 3086C, IAB 6/7/17)</w:t>
      </w:r>
      <w:r>
        <w:rPr>
          <w:rFonts w:ascii="Times New Roman" w:hAnsi="Times New Roman"/>
          <w:b w:val="false"/>
          <w:i w:val="false"/>
          <w:color w:val="000000"/>
          <w:sz w:val="21"/>
        </w:rPr>
        <w:t>, IAB 8/2/17, effective 9/6/17]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08.pdf" Type="http://schemas.openxmlformats.org/officeDocument/2006/relationships/hyperlink" Id="rId5"/>
    <Relationship TargetMode="External" Target="https://www.legis.iowa.gov/docs/ico/chapter/208.13.pdf" Type="http://schemas.openxmlformats.org/officeDocument/2006/relationships/hyperlink" Id="rId6"/>
    <Relationship TargetMode="External" Target="https://www.legis.iowa.gov/docs/ico/chapter/208.7.pdf" Type="http://schemas.openxmlformats.org/officeDocument/2006/relationships/hyperlink" Id="rId7"/>
    <Relationship TargetMode="External" Target="https://www.legis.iowa.gov/docs/iac/rule/27.60.20.pdf" Type="http://schemas.openxmlformats.org/officeDocument/2006/relationships/hyperlink" Id="rId8"/>
    <Relationship TargetMode="External" Target="https://www.legis.iowa.gov/docs/iac/rule/27.60.30.pdf" Type="http://schemas.openxmlformats.org/officeDocument/2006/relationships/hyperlink" Id="rId9"/>
    <Relationship TargetMode="External" Target="https://www.legis.iowa.gov/docs/iac/rule/27.60.30.pdf" Type="http://schemas.openxmlformats.org/officeDocument/2006/relationships/hyperlink" Id="rId10"/>
    <Relationship TargetMode="External" Target="https://www.legis.iowa.gov/docs/ico/chapter/208.9.pdf" Type="http://schemas.openxmlformats.org/officeDocument/2006/relationships/hyperlink" Id="rId11"/>
    <Relationship TargetMode="External" Target="https://www.legis.iowa.gov/docs/iac/rule/27.60.30.pdf" Type="http://schemas.openxmlformats.org/officeDocument/2006/relationships/hyperlink" Id="rId12"/>
    <Relationship TargetMode="External" Target="https://www.legis.iowa.gov/docs/ico/chapter/208.pdf" Type="http://schemas.openxmlformats.org/officeDocument/2006/relationships/hyperlink" Id="rId13"/>
    <Relationship TargetMode="External" Target="https://www.legis.iowa.gov/docs/iac/rule/27.60.40.pdf" Type="http://schemas.openxmlformats.org/officeDocument/2006/relationships/hyperlink" Id="rId14"/>
    <Relationship TargetMode="External" Target="https://www.legis.iowa.gov/docs/ico/chapter/208.23.pdf" Type="http://schemas.openxmlformats.org/officeDocument/2006/relationships/hyperlink" Id="rId15"/>
    <Relationship TargetMode="External" Target="https://www.legis.iowa.gov/docs/ico/chapter/208.pdf" Type="http://schemas.openxmlformats.org/officeDocument/2006/relationships/hyperlink" Id="rId16"/>
    <Relationship TargetMode="External" Target="https://www.legis.iowa.gov/docs/ico/chapter/208.pdf" Type="http://schemas.openxmlformats.org/officeDocument/2006/relationships/hyperlink" Id="rId17"/>
    <Relationship TargetMode="External" Target="https://www.legis.iowa.gov/docs/ico/chapter/208.17.pdf" Type="http://schemas.openxmlformats.org/officeDocument/2006/relationships/hyperlink" Id="rId18"/>
    <Relationship TargetMode="External" Target="https://www.legis.iowa.gov/docs/iac/rule/27.60.30.pdf" Type="http://schemas.openxmlformats.org/officeDocument/2006/relationships/hyperlink" Id="rId19"/>
    <Relationship TargetMode="External" Target="https://www.legis.iowa.gov/docs/iac/rule/27.60.41.pdf" Type="http://schemas.openxmlformats.org/officeDocument/2006/relationships/hyperlink" Id="rId20"/>
    <Relationship TargetMode="External" Target="https://www.legis.iowa.gov/docs/ico/chapter/208.pdf" Type="http://schemas.openxmlformats.org/officeDocument/2006/relationships/hyperlink" Id="rId21"/>
    <Relationship TargetMode="External" Target="https://www.legis.iowa.gov/docs/ico/chapter/208.pdf" Type="http://schemas.openxmlformats.org/officeDocument/2006/relationships/hyperlink" Id="rId22"/>
    <Relationship TargetMode="External" Target="https://www.legis.iowa.gov/docs/ico/chapter/208.10A.pdf" Type="http://schemas.openxmlformats.org/officeDocument/2006/relationships/hyperlink" Id="rId23"/>
    <Relationship TargetMode="External" Target="https://www.legis.iowa.gov/docs/iac/rule/27.60.70.pdf" Type="http://schemas.openxmlformats.org/officeDocument/2006/relationships/hyperlink" Id="rId24"/>
    <Relationship TargetMode="External" Target="https://www.legis.iowa.gov/docs/iac/rule/27.60.85.pdf" Type="http://schemas.openxmlformats.org/officeDocument/2006/relationships/hyperlink" Id="rId25"/>
    <Relationship TargetMode="External" Target="https://www.legis.iowa.gov/docs/iac/rule/27.60.80.pdf" Type="http://schemas.openxmlformats.org/officeDocument/2006/relationships/hyperlink" Id="rId26"/>
    <Relationship TargetMode="External" Target="https://www.legis.iowa.gov/docs/iac/rule/27.60.80.pdf" Type="http://schemas.openxmlformats.org/officeDocument/2006/relationships/hyperlink" Id="rId27"/>
    <Relationship TargetMode="External" Target="https://www.legis.iowa.gov/docs/iac/rule/27.60.85.pdf" Type="http://schemas.openxmlformats.org/officeDocument/2006/relationships/hyperlink" Id="rId28"/>
    <Relationship TargetMode="External" Target="https://www.legis.iowa.gov/docs/ico/chapter/208.17.pdf" Type="http://schemas.openxmlformats.org/officeDocument/2006/relationships/hyperlink" Id="rId29"/>
    <Relationship TargetMode="External" Target="https://www.legis.iowa.gov/docs/ico/chapter/208.19.pdf" Type="http://schemas.openxmlformats.org/officeDocument/2006/relationships/hyperlink" Id="rId30"/>
    <Relationship TargetMode="External" Target="https://www.legis.iowa.gov/docs/iac/rule/27.60.80.pdf" Type="http://schemas.openxmlformats.org/officeDocument/2006/relationships/hyperlink" Id="rId31"/>
    <Relationship TargetMode="External" Target="https://www.legis.iowa.gov/docs/iac/rule/27.60.12.pdf" Type="http://schemas.openxmlformats.org/officeDocument/2006/relationships/hyperlink" Id="rId32"/>
    <Relationship TargetMode="External" Target="https://www.legis.iowa.gov/docs/iac/rule/27.60.20.pdf" Type="http://schemas.openxmlformats.org/officeDocument/2006/relationships/hyperlink" Id="rId33"/>
    <Relationship TargetMode="External" Target="https://www.legis.iowa.gov/docs/iac/rule/27.60.40.pdf" Type="http://schemas.openxmlformats.org/officeDocument/2006/relationships/hyperlink" Id="rId34"/>
    <Relationship TargetMode="External" Target="https://www.legis.iowa.gov/docs/ico/chapter/208.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