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[Prior to 1/29/97 see Industrial Services Division[343]]</w:t>
      </w:r>
    </w:p>
    <w:p>
      <w:pPr>
        <w:spacing w:before="0" w:after="0"/>
        <w:ind w:left="120"/>
        <w:jc w:val="center"/>
      </w:pPr>
      <w:r>
        <w:rPr>
          <w:rFonts w:ascii="Times New Roman" w:hAnsi="Times New Roman"/>
          <w:b w:val="false"/>
          <w:i w:val="false"/>
          <w:color w:val="000000"/>
          <w:sz w:val="14"/>
        </w:rPr>
        <w:t>[Prior to 7/29/98 see Industrial Services Division[873]Ch 9]</w:t>
      </w:r>
    </w:p>
    <w:p>
      <w:pPr>
        <w:spacing w:before="0" w:after="0"/>
        <w:ind w:left="120"/>
        <w:jc w:val="left"/>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left"/>
      </w:pPr>
      <w:r>
        <w:rPr>
          <w:rFonts w:ascii="Times New Roman" w:hAnsi="Times New Roman"/>
          <w:b w:val="false"/>
          <w:i w:val="false"/>
          <w:color w:val="000000"/>
          <w:sz w:val="22"/>
        </w:rPr>
        <w:t xml:space="preserve">The workers’ compensation division of the workforce development department hereby adopts, with the following exceptions and amendments, rules of the Governor’s Task Force on Uniform Rules on Agency Procedure relating to public records and fair information practices which are published at </w:t>
      </w:r>
      <w:hyperlink r:id="rId5">
        <w:r>
          <w:rPr>
            <w:rStyle w:val="Hyperlink"/>
            <w:rFonts w:ascii="Times New Roman" w:hAnsi="Times New Roman"/>
            <w:b w:val="false"/>
            <w:i w:val="false"/>
            <w:color w:val="000000"/>
            <w:sz w:val="22"/>
            <w:u w:val="single"/>
          </w:rPr>
          <w:t>www.legis.iowa.gov/docs/publications/ACOD/767403.pdf</w:t>
        </w:r>
      </w:hyperlink>
      <w:r>
        <w:rPr>
          <w:rFonts w:ascii="Times New Roman" w:hAnsi="Times New Roman"/>
          <w:b w:val="false"/>
          <w:i w:val="false"/>
          <w:color w:val="000000"/>
          <w:sz w:val="22"/>
        </w:rPr>
        <w:t xml:space="preserve"> on the General Assembly’s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5042C</w:t>
      </w:r>
      <w:r>
        <w:rPr>
          <w:rFonts w:ascii="Times New Roman" w:hAnsi="Times New Roman"/>
          <w:b w:val="false"/>
          <w:i w:val="false"/>
          <w:color w:val="000000"/>
          <w:sz w:val="16"/>
        </w:rPr>
        <w:t>, IAB 5/20/20, effective 6/24/20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876—9.1</w:t>
      </w:r>
      <w:r>
        <w:rPr>
          <w:rFonts w:ascii="Times New Roman" w:hAnsi="Times New Roman"/>
          <w:b/>
          <w:i w:val="false"/>
          <w:color w:val="000000"/>
          <w:sz w:val="22"/>
        </w:rPr>
        <w:t xml:space="preserve">(17A,22,85-87)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“the division of workers’ compensation of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 including but not limited to the record of declaratory rulings, declaratory orders, contested case proceedings, decisions, orders, rulings, settlements, and opinions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government or governmental subdivision or agency, business, trust, estate,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In lieu of the word “individual”, insert the word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agency from which a record may be retrieved by a personal identifier such as the name of a person, number, symbol, or other unique retriever assigned to a person and all records that are not retrievable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“Subject” </w:t>
      </w:r>
      <w:r>
        <w:rPr>
          <w:rFonts w:ascii="Times New Roman" w:hAnsi="Times New Roman"/>
          <w:b w:val="false"/>
          <w:i w:val="false"/>
          <w:color w:val="000000"/>
          <w:sz w:val="22"/>
        </w:rPr>
        <w:t>means that person identified in a record.</w:t>
      </w:r>
    </w:p>
    <w:p>
      <w:pPr>
        <w:spacing w:before="0" w:after="0"/>
        <w:ind w:left="120"/>
        <w:jc w:val="both"/>
      </w:pPr>
      <w:r>
        <w:rPr>
          <w:rFonts w:ascii="Times New Roman" w:hAnsi="Times New Roman"/>
          <w:b/>
          <w:i w:val="false"/>
          <w:color w:val="000000"/>
          <w:sz w:val="22"/>
        </w:rPr>
        <w:t>876—9.3</w:t>
      </w:r>
      <w:r>
        <w:rPr>
          <w:rFonts w:ascii="Times New Roman" w:hAnsi="Times New Roman"/>
          <w:b/>
          <w:i w:val="false"/>
          <w:color w:val="000000"/>
          <w:sz w:val="22"/>
        </w:rPr>
        <w:t xml:space="preserve">(17A,22,85-87)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“commissioner”. Also, in lieu of the words “(insert agency name and address)”, insert “Division of Workers’ Compensation, 150 Des Moines Street,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6">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“which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Search and supervisory fee. </w:t>
      </w:r>
      <w:r>
        <w:rPr>
          <w:rFonts w:ascii="Times New Roman" w:hAnsi="Times New Roman"/>
          <w:b w:val="false"/>
          <w:i w:val="false"/>
          <w:color w:val="000000"/>
          <w:sz w:val="22"/>
        </w:rPr>
        <w:t>An hourly fee may be charged for actual agency expenses in searching for and supervising the examination and copying of the requested records if the time required for each of these services exceeds one-quarter hour. The fee shall be based upon the pay scale of the employee involved and other actual costs incurred. The custodian shall prominently post in the agency offices the hourly fees to be 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5042C</w:t>
      </w:r>
      <w:r>
        <w:rPr>
          <w:rFonts w:ascii="Times New Roman" w:hAnsi="Times New Roman"/>
          <w:b w:val="false"/>
          <w:i w:val="false"/>
          <w:color w:val="000000"/>
          <w:sz w:val="16"/>
        </w:rPr>
        <w:t>, IAB 5/20/20, effective 6/24/20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876—9.6</w:t>
      </w:r>
      <w:r>
        <w:rPr>
          <w:rFonts w:ascii="Times New Roman" w:hAnsi="Times New Roman"/>
          <w:b/>
          <w:i w:val="false"/>
          <w:color w:val="000000"/>
          <w:sz w:val="22"/>
        </w:rPr>
        <w:t xml:space="preserve">(17A,22,85-87)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Insert immediately following “. . . official record of any agency proceeding.” the following sentence: “Any additions, dissents, or objections entered into the record shall not be considered evidence in a contested case proceeding.” In lieu of the words “(designate office)”, insert “the Division of Workers’ Compensation, 150 Des Moines Street, Des Moines, Iowa 50309”.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5042C</w:t>
      </w:r>
      <w:r>
        <w:rPr>
          <w:rFonts w:ascii="Times New Roman" w:hAnsi="Times New Roman"/>
          <w:b w:val="false"/>
          <w:i w:val="false"/>
          <w:color w:val="000000"/>
          <w:sz w:val="16"/>
        </w:rPr>
        <w:t>, IAB 5/20/20, effective 6/24/20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876—9.8</w:t>
      </w:r>
      <w:r>
        <w:rPr>
          <w:rFonts w:ascii="Times New Roman" w:hAnsi="Times New Roman"/>
          <w:b/>
          <w:i w:val="false"/>
          <w:color w:val="000000"/>
          <w:sz w:val="22"/>
        </w:rPr>
        <w:t xml:space="preserve">(17A,22,85-87) </w:t>
      </w:r>
      <w:r>
        <w:rPr>
          <w:rFonts w:ascii="Times New Roman" w:hAnsi="Times New Roman"/>
          <w:b/>
          <w:i w:val="false"/>
          <w:color w:val="000000"/>
          <w:sz w:val="22"/>
        </w:rPr>
        <w:t xml:space="preserve">Notice to suppliers of information. </w:t>
      </w:r>
    </w:p>
    <w:p>
      <w:pPr>
        <w:spacing w:before="0" w:after="0"/>
        <w:ind w:left="120"/>
        <w:jc w:val="both"/>
      </w:pPr>
      <w:r>
        <w:rPr>
          <w:rFonts w:ascii="Times New Roman" w:hAnsi="Times New Roman"/>
          <w:b w:val="false"/>
          <w:i w:val="false"/>
          <w:color w:val="000000"/>
          <w:sz w:val="22"/>
        </w:rPr>
        <w:t>Insert a new paragraph as follows:</w:t>
      </w:r>
    </w:p>
    <w:p>
      <w:pPr>
        <w:spacing w:before="0" w:after="0"/>
        <w:ind w:left="120"/>
        <w:jc w:val="both"/>
      </w:pPr>
      <w:r>
        <w:rPr>
          <w:rFonts w:ascii="Times New Roman" w:hAnsi="Times New Roman"/>
          <w:b w:val="false"/>
          <w:i w:val="false"/>
          <w:color w:val="000000"/>
          <w:sz w:val="22"/>
        </w:rPr>
        <w:t xml:space="preserve">“Information provided under this rule may constitute an open record. The information supplied will be used to administer Iowa Code chapters </w:t>
      </w:r>
      <w:hyperlink r:id="rId7">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to </w:t>
      </w:r>
      <w:hyperlink r:id="rId8">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xml:space="preserve"> and this agency’s rules. The information may be provided to parties to contested case proceedings and their representatives, employers, employees, insurance carriers, federal, state, and local agencies, and other persons having a legitimate interest in the information. All of the information requested is required to be supplied unless the request specifies otherwise. Failure to provide the information requested may result in the sanctions provided in Iowa Code chapters </w:t>
      </w:r>
      <w:hyperlink r:id="rId9">
        <w:r>
          <w:rPr>
            <w:rStyle w:val="Hyperlink"/>
            <w:rFonts w:ascii="Times New Roman" w:hAnsi="Times New Roman"/>
            <w:b w:val="false"/>
            <w:i w:val="false"/>
            <w:color w:val="000000"/>
            <w:sz w:val="22"/>
          </w:rPr>
          <w:t>85 to 87</w:t>
        </w:r>
      </w:hyperlink>
      <w:r>
        <w:rPr>
          <w:rFonts w:ascii="Times New Roman" w:hAnsi="Times New Roman"/>
          <w:b w:val="false"/>
          <w:i w:val="false"/>
          <w:color w:val="000000"/>
          <w:sz w:val="22"/>
        </w:rPr>
        <w:t xml:space="preserve"> and this agency’s rules. See </w:t>
      </w:r>
      <w:hyperlink r:id="rId10">
        <w:r>
          <w:rPr>
            <w:rStyle w:val="Hyperlink"/>
            <w:rFonts w:ascii="Times New Roman" w:hAnsi="Times New Roman"/>
            <w:b w:val="false"/>
            <w:i w:val="false"/>
            <w:color w:val="000000"/>
            <w:sz w:val="22"/>
          </w:rPr>
          <w:t>876—Chapter 3</w:t>
        </w:r>
      </w:hyperlink>
      <w:r>
        <w:rPr>
          <w:rFonts w:ascii="Times New Roman" w:hAnsi="Times New Roman"/>
          <w:b w:val="false"/>
          <w:i w:val="false"/>
          <w:color w:val="000000"/>
          <w:sz w:val="22"/>
        </w:rPr>
        <w:t xml:space="preserve"> for forms used by this agency.”</w:t>
      </w:r>
    </w:p>
    <w:p>
      <w:pPr>
        <w:spacing w:before="0" w:after="0"/>
        <w:ind w:left="120"/>
        <w:jc w:val="both"/>
      </w:pPr>
      <w:r>
        <w:rPr>
          <w:rFonts w:ascii="Times New Roman" w:hAnsi="Times New Roman"/>
          <w:b/>
          <w:i w:val="false"/>
          <w:color w:val="000000"/>
          <w:sz w:val="22"/>
        </w:rPr>
        <w:t>876—9.9</w:t>
      </w:r>
      <w:r>
        <w:rPr>
          <w:rFonts w:ascii="Times New Roman" w:hAnsi="Times New Roman"/>
          <w:b/>
          <w:i w:val="false"/>
          <w:color w:val="000000"/>
          <w:sz w:val="22"/>
        </w:rPr>
        <w:t xml:space="preserve">(17A,22,85-87) </w:t>
      </w:r>
      <w:r>
        <w:rPr>
          <w:rFonts w:ascii="Times New Roman" w:hAnsi="Times New Roman"/>
          <w:b/>
          <w:i w:val="false"/>
          <w:color w:val="000000"/>
          <w:sz w:val="22"/>
        </w:rPr>
        <w:t xml:space="preserve">Disclosure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w:t>
      </w:r>
      <w:r>
        <w:rPr>
          <w:rFonts w:ascii="Times New Roman" w:hAnsi="Times New Roman"/>
          <w:b w:val="false"/>
          <w:i w:val="false"/>
          <w:color w:val="000000"/>
          <w:sz w:val="22"/>
        </w:rPr>
        <w:t> </w:t>
      </w:r>
      <w:r>
        <w:rPr>
          <w:rFonts w:ascii="Times New Roman" w:hAnsi="Times New Roman"/>
          <w:b w:val="false"/>
          <w:i w:val="false"/>
          <w:color w:val="000000"/>
          <w:sz w:val="22"/>
        </w:rPr>
        <w:t>If the agency is prohibited from disclosing part of a document from inspection, that part will not be disclosed and the remainder will be made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routine use as defined in rule 876—</w:t>
      </w:r>
      <w:hyperlink r:id="rId11">
        <w:r>
          <w:rPr>
            <w:rStyle w:val="Hyperlink"/>
            <w:rFonts w:ascii="Times New Roman" w:hAnsi="Times New Roman"/>
            <w:b w:val="false"/>
            <w:i w:val="false"/>
            <w:color w:val="000000"/>
            <w:sz w:val="22"/>
          </w:rPr>
          <w:t>9.10</w:t>
        </w:r>
      </w:hyperlink>
      <w:r>
        <w:rPr>
          <w:rFonts w:ascii="Times New Roman" w:hAnsi="Times New Roman"/>
          <w:b w:val="false"/>
          <w:i w:val="false"/>
          <w:color w:val="000000"/>
          <w:sz w:val="22"/>
        </w:rPr>
        <w:t>(17A,22,85-87)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the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 person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12">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876—9.10</w:t>
      </w:r>
      <w:r>
        <w:rPr>
          <w:rFonts w:ascii="Times New Roman" w:hAnsi="Times New Roman"/>
          <w:b/>
          <w:i w:val="false"/>
          <w:color w:val="000000"/>
          <w:sz w:val="22"/>
        </w:rPr>
        <w:t xml:space="preserve">(17A,22,85-87)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and federal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 to the public upon request. The custodian of the record may upon request, or on the custodian’s own initiative, determine what constitutes legitimate need to use a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876—9.11</w:t>
      </w:r>
      <w:r>
        <w:rPr>
          <w:rFonts w:ascii="Times New Roman" w:hAnsi="Times New Roman"/>
          <w:b/>
          <w:i w:val="false"/>
          <w:color w:val="000000"/>
          <w:sz w:val="22"/>
        </w:rPr>
        <w:t xml:space="preserve">(17A,22,85-87)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val="false"/>
          <w:color w:val="000000"/>
          <w:sz w:val="22"/>
        </w:rPr>
        <w:t>The subject of a confidential record may file a written request to review confidential records about that subject as provided in rule 876—</w:t>
      </w:r>
      <w:hyperlink r:id="rId14">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(17A,22,85-87).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the workers’ compensation commissioner, deputy commissioner, an agency attorney, or employee of the agency, or what would otherwise be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Iowa Code section </w:t>
      </w:r>
      <w:hyperlink r:id="rId16">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876—9.12</w:t>
      </w:r>
      <w:r>
        <w:rPr>
          <w:rFonts w:ascii="Times New Roman" w:hAnsi="Times New Roman"/>
          <w:b/>
          <w:i w:val="false"/>
          <w:color w:val="000000"/>
          <w:sz w:val="22"/>
        </w:rPr>
        <w:t xml:space="preserve">(17A,22,85-87)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val="false"/>
          <w:color w:val="000000"/>
          <w:sz w:val="22"/>
        </w:rPr>
        <w:t>General. 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val="false"/>
          <w:color w:val="000000"/>
          <w:sz w:val="22"/>
        </w:rPr>
        <w:t>The record of declaratory rulings, declaratory orders, contested case proceedings, decisions, orders, rulings, settlements, and opinions are open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9.12(3)</w:t>
      </w:r>
      <w:r>
        <w:rPr>
          <w:rFonts w:ascii="Times New Roman" w:hAnsi="Times New Roman"/>
          <w:b w:val="false"/>
          <w:i w:val="false"/>
          <w:color w:val="000000"/>
          <w:sz w:val="22"/>
        </w:rPr>
        <w:t> </w:t>
      </w:r>
      <w:r>
        <w:rPr>
          <w:rFonts w:ascii="Times New Roman" w:hAnsi="Times New Roman"/>
          <w:b w:val="false"/>
          <w:i w:val="false"/>
          <w:color w:val="000000"/>
          <w:sz w:val="22"/>
        </w:rPr>
        <w:t>Records obtained from the division of vocational rehabilitation are open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9.12(4)</w:t>
      </w:r>
      <w:r>
        <w:rPr>
          <w:rFonts w:ascii="Times New Roman" w:hAnsi="Times New Roman"/>
          <w:b w:val="false"/>
          <w:i w:val="false"/>
          <w:color w:val="000000"/>
          <w:sz w:val="22"/>
        </w:rPr>
        <w:t> </w:t>
      </w:r>
      <w:r>
        <w:rPr>
          <w:rFonts w:ascii="Times New Roman" w:hAnsi="Times New Roman"/>
          <w:b w:val="false"/>
          <w:i w:val="false"/>
          <w:color w:val="000000"/>
          <w:sz w:val="22"/>
        </w:rPr>
        <w:t>Confidential records. 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pursuant to Iowa Code section </w:t>
      </w:r>
      <w:hyperlink r:id="rId17">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pursuant to Iowa Code sections </w:t>
      </w:r>
      <w:hyperlink r:id="rId18">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2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and tape recordings of closed meetings of a government body pursuant to Iowa Code section </w:t>
      </w:r>
      <w:hyperlink r:id="rId21">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a clearly improper advantage to persons who are in an adverse position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the work product of the workers’ compensation commissioner, a deputy workers’ compensation commissioner, an agency attorney, or an employee of the agency; attorney-client communications; or which are otherwise privileged. Attorney work product is confidential under Iowa Code sections </w:t>
      </w:r>
      <w:hyperlink r:id="rId22">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Civ.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25">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records maintained by the agency of past and present employees which may contain confidential information under Iowa Code section </w:t>
      </w:r>
      <w:hyperlink r:id="rId2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9.12(5)</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Authority to release confidential records. The agency may have discretion to disclose some confidential records which are exempt from disclosure under Iowa Code section </w:t>
      </w:r>
      <w:hyperlink r:id="rId2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876—9.4(17A,22,85-87). If the agency initially determines that it will release such records, the agency may, where appropriate, notify interested parties and withhold the records from inspection as provided in subrule 9.4(3).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876—9.13</w:t>
      </w:r>
      <w:r>
        <w:rPr>
          <w:rFonts w:ascii="Times New Roman" w:hAnsi="Times New Roman"/>
          <w:b/>
          <w:i w:val="false"/>
          <w:color w:val="000000"/>
          <w:sz w:val="22"/>
        </w:rPr>
        <w:t xml:space="preserve">(17A,22,85-87) </w:t>
      </w:r>
      <w:r>
        <w:rPr>
          <w:rFonts w:ascii="Times New Roman" w:hAnsi="Times New Roman"/>
          <w:b/>
          <w:i w:val="false"/>
          <w:color w:val="000000"/>
          <w:sz w:val="22"/>
        </w:rPr>
        <w:t xml:space="preserve">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val="false"/>
          <w:color w:val="000000"/>
          <w:sz w:val="22"/>
        </w:rPr>
        <w:t>This rule describes the nature and extent of personally identifiable information which is collected, maintained, and retrieved by the agency by personal identifier in record systems as defined in rule 876—</w:t>
      </w:r>
      <w:hyperlink r:id="rId29">
        <w:r>
          <w:rPr>
            <w:rStyle w:val="Hyperlink"/>
            <w:rFonts w:ascii="Times New Roman" w:hAnsi="Times New Roman"/>
            <w:b w:val="false"/>
            <w:i w:val="false"/>
            <w:color w:val="000000"/>
            <w:sz w:val="22"/>
          </w:rPr>
          <w:t>9.1</w:t>
        </w:r>
      </w:hyperlink>
      <w:r>
        <w:rPr>
          <w:rFonts w:ascii="Times New Roman" w:hAnsi="Times New Roman"/>
          <w:b w:val="false"/>
          <w:i w:val="false"/>
          <w:color w:val="000000"/>
          <w:sz w:val="22"/>
        </w:rPr>
        <w:t xml:space="preserve">(17A,22,85-87).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Unless otherwise stated, the authority for this agency to maintain the record is provided by Iowa Code chapters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85 to 87</w:t>
        </w:r>
      </w:hyperlink>
      <w:r>
        <w:rPr>
          <w:rFonts w:ascii="Times New Roman" w:hAnsi="Times New Roman"/>
          <w:b w:val="false"/>
          <w:i w:val="false"/>
          <w:color w:val="000000"/>
          <w:sz w:val="22"/>
        </w:rPr>
        <w:t>.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submitted to and gathered by the division of workers’ compensation pursuant to Iowa Code chapters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85 to 87</w:t>
        </w:r>
      </w:hyperlink>
      <w:r>
        <w:rPr>
          <w:rFonts w:ascii="Times New Roman" w:hAnsi="Times New Roman"/>
          <w:b w:val="false"/>
          <w:i w:val="false"/>
          <w:color w:val="000000"/>
          <w:sz w:val="22"/>
        </w:rPr>
        <w:t xml:space="preserve"> and this agency’s rules regarding claims for workers’ compensation benefits. These records are stored in an automated data processing system, hard copy, microfilm, or microfiche. These records may contain medical records, briefs, depositions, transcripts of evidence, pictures, diagrams, exhibits, charts, employer records, insurance carrier records, vocational rehabilitation records, attorney records, court records, correspondence, claim form data, wage records, docket sheets, memoranda, attorney or staff notes, research material, witness information, documents, case management records, investigation materials, and any other records obtained pursuant to Iowa Code chapters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85 to 87</w:t>
        </w:r>
      </w:hyperlink>
      <w:r>
        <w:rPr>
          <w:rFonts w:ascii="Times New Roman" w:hAnsi="Times New Roman"/>
          <w:b w:val="false"/>
          <w:i w:val="false"/>
          <w:color w:val="000000"/>
          <w:sz w:val="22"/>
        </w:rPr>
        <w:t xml:space="preserve"> and this agency’s rules. These records may be stored in an automated data processing system, hard copy, microfilm, or microfiche. These records may contain, in whole or in part, records determined to be confidential as defined in subrule </w:t>
      </w:r>
      <w:hyperlink r:id="rId39">
        <w:r>
          <w:rPr>
            <w:rStyle w:val="Hyperlink"/>
            <w:rFonts w:ascii="Times New Roman" w:hAnsi="Times New Roman"/>
            <w:b w:val="false"/>
            <w:i w:val="false"/>
            <w:color w:val="000000"/>
            <w:sz w:val="22"/>
          </w:rPr>
          <w:t>9.12(4)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the work product of an employee of the agency pursuant to Iowa Code chapters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85 to 87</w:t>
        </w:r>
      </w:hyperlink>
      <w:r>
        <w:rPr>
          <w:rFonts w:ascii="Times New Roman" w:hAnsi="Times New Roman"/>
          <w:b w:val="false"/>
          <w:i w:val="false"/>
          <w:color w:val="000000"/>
          <w:sz w:val="22"/>
        </w:rPr>
        <w:t xml:space="preserve"> and this agency’s rules. These records may be stored in an automated data processing system, hard copy, microfilm, or microfiche. Some of these records may contain, in whole or in part, records determined to be confidential as defined in subrule </w:t>
      </w:r>
      <w:hyperlink r:id="rId43">
        <w:r>
          <w:rPr>
            <w:rStyle w:val="Hyperlink"/>
            <w:rFonts w:ascii="Times New Roman" w:hAnsi="Times New Roman"/>
            <w:b w:val="false"/>
            <w:i w:val="false"/>
            <w:color w:val="000000"/>
            <w:sz w:val="22"/>
          </w:rPr>
          <w:t>9.12(4)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employees, families and dependents, and applicants for positions with the agency. These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4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groups of records. This subrule describes groups of records maintained by the agency other than record systems as defined in rule 876—</w:t>
      </w:r>
      <w:hyperlink r:id="rId45">
        <w:r>
          <w:rPr>
            <w:rStyle w:val="Hyperlink"/>
            <w:rFonts w:ascii="Times New Roman" w:hAnsi="Times New Roman"/>
            <w:b w:val="false"/>
            <w:i w:val="false"/>
            <w:color w:val="000000"/>
            <w:sz w:val="22"/>
          </w:rPr>
          <w:t>9.1</w:t>
        </w:r>
      </w:hyperlink>
      <w:r>
        <w:rPr>
          <w:rFonts w:ascii="Times New Roman" w:hAnsi="Times New Roman"/>
          <w:b w:val="false"/>
          <w:i w:val="false"/>
          <w:color w:val="000000"/>
          <w:sz w:val="22"/>
        </w:rPr>
        <w:t>(17A,22,85-87). These records are routinely available to the public. However, the agency’s files of these records may contain confidential information as discussed in rule 876—</w:t>
      </w:r>
      <w:hyperlink r:id="rId46">
        <w:r>
          <w:rPr>
            <w:rStyle w:val="Hyperlink"/>
            <w:rFonts w:ascii="Times New Roman" w:hAnsi="Times New Roman"/>
            <w:b w:val="false"/>
            <w:i w:val="false"/>
            <w:color w:val="000000"/>
            <w:sz w:val="22"/>
          </w:rPr>
          <w:t>9.12</w:t>
        </w:r>
      </w:hyperlink>
      <w:r>
        <w:rPr>
          <w:rFonts w:ascii="Times New Roman" w:hAnsi="Times New Roman"/>
          <w:b w:val="false"/>
          <w:i w:val="false"/>
          <w:color w:val="000000"/>
          <w:sz w:val="22"/>
        </w:rPr>
        <w:t>(17A,22,85-87). The records listed may contain information about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Rule-making records. Public documents generated during the promulgation of agency rules, including notices and public comments, are available for public inspection. This information is collected pursuant to Iowa Code section </w:t>
      </w:r>
      <w:hyperlink r:id="rId47">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may be stored in an automated data processing system and may have the capability of retrieval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Agency records. Agendas, minutes, and materials presented to the division of workers’ compensation are available from the custodian, except those records concerning closed sessions which are exempt from disclosure under Iowa Code section </w:t>
      </w:r>
      <w:hyperlink r:id="rId48">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which are otherwise confidential by law. Agency records may contain information about persons who participate in meetings. This information is collected pursuant to Iowa Code sections </w:t>
      </w:r>
      <w:hyperlink r:id="rId49">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85A.2(4)</w:t>
        </w:r>
      </w:hyperlink>
      <w:r>
        <w:rPr>
          <w:rFonts w:ascii="Times New Roman" w:hAnsi="Times New Roman"/>
          <w:b w:val="false"/>
          <w:i w:val="false"/>
          <w:color w:val="000000"/>
          <w:sz w:val="22"/>
        </w:rPr>
        <w:t>. These records may be stored in an automated data processing system and may have the capability of retrieval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annual reports, project reports, agency newsletters, etc., are available at the administrative office of the agency. Brochures describing various agency programs are available at the administrative office of the agency. Agency news releases, project reports, and newsletters may contain information about persons, including agency staff or members of agency committees. Most publications of general interest are available in the state law library. These records may be stored in an automated data processing system and may have the capability of retrieval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Statistical reports. Reports of agency data are available from the agency. Statistical reports may contain personally identifiable information. These records may be stored in an automated data processing system and may have the capability of retrieval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and opinions. All records of contested case proceedings, decisions, orders, rulings, settlements, and opinions are open to the public. These records contain information about a person collected under the authority of Iowa Code chapters </w:t>
      </w:r>
      <w:hyperlink r:id="rId5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85 to 87</w:t>
        </w:r>
      </w:hyperlink>
      <w:r>
        <w:rPr>
          <w:rFonts w:ascii="Times New Roman" w:hAnsi="Times New Roman"/>
          <w:b w:val="false"/>
          <w:i w:val="false"/>
          <w:color w:val="000000"/>
          <w:sz w:val="22"/>
        </w:rPr>
        <w:t xml:space="preserve"> and this agency’s rules. These records may be stored in an automated data processing system and may have the capability of retrieval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Declaratory rulings and declaratory orders. Records may contain information about persons making requests for declaratory rulings, declaratory orders or comments from other persons concerning the rulings or orders. This information is collected pursuant to Iowa Code section </w:t>
      </w:r>
      <w:hyperlink r:id="rId54">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These records may be stored in an automated data processing system and may have the capability of retrieval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Published materials. 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Policy manuals. The agency employees’ manuals are available in the administrative office of the agency. Subscriptions to all or part of the employees’ manuals are available at the cost of production and handling. Requests for subscription information should be addressed to the Division of Workers’ Compensation, 150 Des Moines Street, Des Moines, Iowa 50309. Policy manuals may contain confidential information under Iowa Code section </w:t>
      </w:r>
      <w:hyperlink r:id="rId55">
        <w:r>
          <w:rPr>
            <w:rStyle w:val="Hyperlink"/>
            <w:rFonts w:ascii="Times New Roman" w:hAnsi="Times New Roman"/>
            <w:b w:val="false"/>
            <w:i w:val="false"/>
            <w:color w:val="000000"/>
            <w:sz w:val="22"/>
          </w:rPr>
          <w:t>17A.2(7)</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 applicable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records used by the agency which may not otherwise be accounted for by these rules include correspondence files, surveys, information and data files, requests for review of open records, budget documents, agency property, yearly reports, office policy for employees, time sheets, and records used for processing purposes internally (such as data processing and word processing requests, supply shipments, vouchers, requisitions, charge accounts, order, etc.). Some of these records may contain information about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val="false"/>
          <w:color w:val="000000"/>
          <w:sz w:val="22"/>
        </w:rPr>
        <w:t>Data processing systems used by the agency may permit the comparison of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5042C</w:t>
      </w:r>
      <w:r>
        <w:rPr>
          <w:rFonts w:ascii="Times New Roman" w:hAnsi="Times New Roman"/>
          <w:b w:val="false"/>
          <w:i w:val="false"/>
          <w:color w:val="000000"/>
          <w:sz w:val="16"/>
        </w:rPr>
        <w:t>, IAB 5/20/20, effective 6/24/20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876—9.14</w:t>
      </w:r>
      <w:r>
        <w:rPr>
          <w:rFonts w:ascii="Times New Roman" w:hAnsi="Times New Roman"/>
          <w:b/>
          <w:i w:val="false"/>
          <w:color w:val="000000"/>
          <w:sz w:val="22"/>
        </w:rPr>
        <w:t xml:space="preserve">(17A,22,85-87)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persons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5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the rules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person or party to such litigation or proceedings shall be governed by applicable legal and constitutional principles, statutes, rules of discovery, evidentiary privileges, and applicable rules of the agency.</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4/29/88, Notice 3/9/88—published 5/18/88, effective 7/1/88]</w:t>
      </w:r>
    </w:p>
    <w:p>
      <w:pPr>
        <w:spacing w:before="0" w:after="0"/>
        <w:ind w:left="120"/>
        <w:jc w:val="center"/>
      </w:pPr>
      <w:r>
        <w:rPr>
          <w:rFonts w:ascii="Times New Roman" w:hAnsi="Times New Roman"/>
          <w:b w:val="false"/>
          <w:i w:val="false"/>
          <w:color w:val="000000"/>
          <w:sz w:val="21"/>
        </w:rPr>
        <w:t>[Filed 1/10/97, Notice 12/4/96—published 1/29/97, effective 3/5/97]</w:t>
      </w:r>
    </w:p>
    <w:p>
      <w:pPr>
        <w:spacing w:before="0" w:after="0"/>
        <w:ind w:left="120"/>
        <w:jc w:val="center"/>
      </w:pPr>
      <w:r>
        <w:rPr>
          <w:rFonts w:ascii="Times New Roman" w:hAnsi="Times New Roman"/>
          <w:b w:val="false"/>
          <w:i w:val="false"/>
          <w:color w:val="000000"/>
          <w:sz w:val="21"/>
        </w:rPr>
        <w:t>[Filed emergency 7/1/98—published 7/29/98, effective 7/1/98]</w:t>
      </w:r>
    </w:p>
    <w:p>
      <w:pPr>
        <w:spacing w:before="0" w:after="0"/>
        <w:ind w:left="120"/>
        <w:jc w:val="center"/>
      </w:pPr>
      <w:r>
        <w:rPr>
          <w:rFonts w:ascii="Times New Roman" w:hAnsi="Times New Roman"/>
          <w:b w:val="false"/>
          <w:i w:val="false"/>
          <w:color w:val="000000"/>
          <w:sz w:val="21"/>
        </w:rPr>
        <w:t>[Filed 5/12/00, Notice 4/5/00—published 5/31/00, effective 7/5/00]</w:t>
      </w:r>
    </w:p>
    <w:p>
      <w:pPr>
        <w:spacing w:before="0" w:after="0"/>
        <w:ind w:left="120"/>
        <w:jc w:val="center"/>
      </w:pPr>
      <w:r>
        <w:rPr>
          <w:rFonts w:ascii="Times New Roman" w:hAnsi="Times New Roman"/>
          <w:b w:val="false"/>
          <w:i w:val="false"/>
          <w:color w:val="000000"/>
          <w:sz w:val="21"/>
        </w:rPr>
        <w:t>[Filed ARC 5042C</w:t>
      </w:r>
      <w:r>
        <w:rPr>
          <w:rFonts w:ascii="Times New Roman" w:hAnsi="Times New Roman"/>
          <w:b w:val="false"/>
          <w:i w:val="false"/>
          <w:color w:val="000000"/>
          <w:sz w:val="21"/>
        </w:rPr>
        <w:t xml:space="preserve"> (Notice ARC 4993C, IAB 3/25/20)</w:t>
      </w:r>
      <w:r>
        <w:rPr>
          <w:rFonts w:ascii="Times New Roman" w:hAnsi="Times New Roman"/>
          <w:b w:val="false"/>
          <w:i w:val="false"/>
          <w:color w:val="000000"/>
          <w:sz w:val="21"/>
        </w:rPr>
        <w:t>, IAB 5/20/20, effective 6/24/20]</w:t>
      </w:r>
    </w:p>
    <w:p>
      <w:pPr>
        <w:spacing w:before="0" w:after="0"/>
        <w:ind w:left="120"/>
        <w:jc w:val="center"/>
      </w:pPr>
      <w:r>
        <w:rPr>
          <w:rFonts w:ascii="Times New Roman" w:hAnsi="Times New Roman"/>
          <w:b w:val="false"/>
          <w:i w:val="false"/>
          <w:color w:val="000000"/>
          <w:sz w:val="21"/>
        </w:rPr>
        <w:t>[Filed ARC 6841C</w:t>
      </w:r>
      <w:r>
        <w:rPr>
          <w:rFonts w:ascii="Times New Roman" w:hAnsi="Times New Roman"/>
          <w:b w:val="false"/>
          <w:i w:val="false"/>
          <w:color w:val="000000"/>
          <w:sz w:val="21"/>
        </w:rPr>
        <w:t xml:space="preserve"> (Notice ARC 6701C, IAB 11/30/22)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publications/ACOD/767403.pdf" Type="http://schemas.openxmlformats.org/officeDocument/2006/relationships/hyperlink" Id="rId5"/>
    <Relationship TargetMode="External" Target="https://www.legis.iowa.gov/docs/ico/chapter/22.4.pdf" Type="http://schemas.openxmlformats.org/officeDocument/2006/relationships/hyperlink" Id="rId6"/>
    <Relationship TargetMode="External" Target="https://www.legis.iowa.gov/docs/ico/chapter/85.pdf" Type="http://schemas.openxmlformats.org/officeDocument/2006/relationships/hyperlink" Id="rId7"/>
    <Relationship TargetMode="External" Target="https://www.legis.iowa.gov/docs/ico/chapter/87.pdf" Type="http://schemas.openxmlformats.org/officeDocument/2006/relationships/hyperlink" Id="rId8"/>
    <Relationship TargetMode="External" Target="https://www.legis.iowa.gov/docs/ico/chapter/85-87.pdf" Type="http://schemas.openxmlformats.org/officeDocument/2006/relationships/hyperlink" Id="rId9"/>
    <Relationship TargetMode="External" Target="https://www.legis.iowa.gov/docs/iac/chapter/876.3.pdf" Type="http://schemas.openxmlformats.org/officeDocument/2006/relationships/hyperlink" Id="rId10"/>
    <Relationship TargetMode="External" Target="https://www.legis.iowa.gov/docs/iac/rule/876.9.10.pdf" Type="http://schemas.openxmlformats.org/officeDocument/2006/relationships/hyperlink" Id="rId11"/>
    <Relationship TargetMode="External" Target="https://www.legis.iowa.gov/docs/ico/chapter/2A.3.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ac/rule/876.9.6.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72.3.pdf" Type="http://schemas.openxmlformats.org/officeDocument/2006/relationships/hyperlink" Id="rId17"/>
    <Relationship TargetMode="External" Target="https://www.legis.iowa.gov/docs/ico/chapter/422.20.pdf" Type="http://schemas.openxmlformats.org/officeDocument/2006/relationships/hyperlink" Id="rId18"/>
    <Relationship TargetMode="External" Target="https://www.legis.iowa.gov/docs/ico/chapter/422.72.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1.5.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622.10.pdf" Type="http://schemas.openxmlformats.org/officeDocument/2006/relationships/hyperlink" Id="rId23"/>
    <Relationship TargetMode="External" Target="https://www.legis.iowa.gov/docs/ico/chapter/622.11.pdf" Type="http://schemas.openxmlformats.org/officeDocument/2006/relationships/hyperlink" Id="rId24"/>
    <Relationship TargetMode="External" Target="https://www.legis.iowa.gov/docs/ico/chapter/622.10.pdf" Type="http://schemas.openxmlformats.org/officeDocument/2006/relationships/hyperlink" Id="rId25"/>
    <Relationship TargetMode="External" Target="https://www.legis.iowa.gov/docs/ico/chapter/622.11.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ac/rule/876.9.1.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22.pdf" Type="http://schemas.openxmlformats.org/officeDocument/2006/relationships/hyperlink" Id="rId31"/>
    <Relationship TargetMode="External" Target="https://www.legis.iowa.gov/docs/ico/chapter/85-87.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co/chapter/22.pdf" Type="http://schemas.openxmlformats.org/officeDocument/2006/relationships/hyperlink" Id="rId34"/>
    <Relationship TargetMode="External" Target="https://www.legis.iowa.gov/docs/ico/chapter/85-87.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22.pdf" Type="http://schemas.openxmlformats.org/officeDocument/2006/relationships/hyperlink" Id="rId37"/>
    <Relationship TargetMode="External" Target="https://www.legis.iowa.gov/docs/ico/chapter/85-87.pdf" Type="http://schemas.openxmlformats.org/officeDocument/2006/relationships/hyperlink" Id="rId38"/>
    <Relationship TargetMode="External" Target="https://www.legis.iowa.gov/docs/iac/rule/876.9.12.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22.pdf" Type="http://schemas.openxmlformats.org/officeDocument/2006/relationships/hyperlink" Id="rId41"/>
    <Relationship TargetMode="External" Target="https://www.legis.iowa.gov/docs/ico/chapter/85-87.pdf" Type="http://schemas.openxmlformats.org/officeDocument/2006/relationships/hyperlink" Id="rId42"/>
    <Relationship TargetMode="External" Target="https://www.legis.iowa.gov/docs/iac/rule/876.9.12.pdf" Type="http://schemas.openxmlformats.org/officeDocument/2006/relationships/hyperlink" Id="rId43"/>
    <Relationship TargetMode="External" Target="https://www.legis.iowa.gov/docs/ico/chapter/22.7.pdf" Type="http://schemas.openxmlformats.org/officeDocument/2006/relationships/hyperlink" Id="rId44"/>
    <Relationship TargetMode="External" Target="https://www.legis.iowa.gov/docs/iac/rule/876.9.1.pdf" Type="http://schemas.openxmlformats.org/officeDocument/2006/relationships/hyperlink" Id="rId45"/>
    <Relationship TargetMode="External" Target="https://www.legis.iowa.gov/docs/iac/rule/876.9.12.pdf" Type="http://schemas.openxmlformats.org/officeDocument/2006/relationships/hyperlink" Id="rId46"/>
    <Relationship TargetMode="External" Target="https://www.legis.iowa.gov/docs/ico/chapter/17A.4.pdf" Type="http://schemas.openxmlformats.org/officeDocument/2006/relationships/hyperlink" Id="rId47"/>
    <Relationship TargetMode="External" Target="https://www.legis.iowa.gov/docs/ico/chapter/21.5.pdf" Type="http://schemas.openxmlformats.org/officeDocument/2006/relationships/hyperlink" Id="rId48"/>
    <Relationship TargetMode="External" Target="https://www.legis.iowa.gov/docs/ico/chapter/21.3.pdf" Type="http://schemas.openxmlformats.org/officeDocument/2006/relationships/hyperlink" Id="rId49"/>
    <Relationship TargetMode="External" Target="https://www.legis.iowa.gov/docs/ico/chapter/85A.2.pdf" Type="http://schemas.openxmlformats.org/officeDocument/2006/relationships/hyperlink" Id="rId50"/>
    <Relationship TargetMode="External" Target="https://www.legis.iowa.gov/docs/ico/chapter/17A.pdf" Type="http://schemas.openxmlformats.org/officeDocument/2006/relationships/hyperlink" Id="rId51"/>
    <Relationship TargetMode="External" Target="https://www.legis.iowa.gov/docs/ico/chapter/22.pdf" Type="http://schemas.openxmlformats.org/officeDocument/2006/relationships/hyperlink" Id="rId52"/>
    <Relationship TargetMode="External" Target="https://www.legis.iowa.gov/docs/ico/chapter/85-87.pdf" Type="http://schemas.openxmlformats.org/officeDocument/2006/relationships/hyperlink" Id="rId53"/>
    <Relationship TargetMode="External" Target="https://www.legis.iowa.gov/docs/ico/chapter/17A.9.pdf" Type="http://schemas.openxmlformats.org/officeDocument/2006/relationships/hyperlink" Id="rId54"/>
    <Relationship TargetMode="External" Target="https://www.legis.iowa.gov/docs/ico/chapter/17A.2.pdf" Type="http://schemas.openxmlformats.org/officeDocument/2006/relationships/hyperlink" Id="rId55"/>
    <Relationship TargetMode="External" Target="https://www.legis.iowa.gov/docs/ico/chapter/22.pdf" Type="http://schemas.openxmlformats.org/officeDocument/2006/relationships/hyperlink" Id="rId56"/>
    <Relationship TargetMode="External" Target="https://www.legis.iowa.gov/docs/ico/chapter/17A.pdf" Type="http://schemas.openxmlformats.org/officeDocument/2006/relationships/hyperlink" Id="rId57"/>
    <Relationship TargetMode="External" Target="https://www.legis.iowa.gov/docs/ico/chapter/22.pdf" Type="http://schemas.openxmlformats.org/officeDocument/2006/relationships/hyperlink" Id="rId58"/>
    <Relationship TargetMode="External" Target="https://www.legis.iowa.gov/docs/ico/chapter/85.pdf" Type="http://schemas.openxmlformats.org/officeDocument/2006/relationships/hyperlink" Id="rId59"/>
    <Relationship TargetMode="External" Target="https://www.legis.iowa.gov/docs/ico/chapter/85A.pdf" Type="http://schemas.openxmlformats.org/officeDocument/2006/relationships/hyperlink" Id="rId60"/>
    <Relationship TargetMode="External" Target="https://www.legis.iowa.gov/docs/ico/chapter/85B.pdf" Type="http://schemas.openxmlformats.org/officeDocument/2006/relationships/hyperlink" Id="rId61"/>
    <Relationship TargetMode="External" Target="https://www.legis.iowa.gov/docs/ico/chapter/86.pdf" Type="http://schemas.openxmlformats.org/officeDocument/2006/relationships/hyperlink" Id="rId62"/>
    <Relationship TargetMode="External" Target="https://www.legis.iowa.gov/docs/ico/chapter/87.pdf" Type="http://schemas.openxmlformats.org/officeDocument/2006/relationships/hyperlink"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