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5]</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workers’ compensation commissioner for a declaratory order as to the applicability to specified circumstances of a statute, rule, or order within the primary jurisdiction of the workers’ compensation commissioner, at the office of the workers’ compensation commissioner. Parties shall not use WCES for declaratory order proceedings. A petition is deemed filed when it is received by that office. The workers’ compensation commissioner shall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WORKERS’ COMPENSATION COMMISSIONER</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a</w:t>
            </w:r>
          </w:p>
          <w:p>
            <w:pPr>
              <w:spacing w:before="0" w:after="0"/>
              <w:ind w:left="160"/>
              <w:jc w:val="left"/>
            </w:pPr>
            <w:r>
              <w:rPr>
                <w:rFonts w:ascii="Times New Roman" w:hAnsi="Times New Roman"/>
                <w:b w:val="false"/>
                <w:i w:val="false"/>
                <w:color w:val="000000"/>
                <w:sz w:val="16"/>
              </w:rPr>
              <w:t>Declaratory Order on (Cite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rule 876—5.7(17A)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876—5.2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five working days after receipt of a petition for a declaratory order, the workers’ compensation commissioner shall give notice of the petition to all persons not served by the petitioner pursuant to </w:t>
      </w:r>
      <w:hyperlink r:id="rId6">
        <w:r>
          <w:rPr>
            <w:rStyle w:val="Hyperlink"/>
            <w:rFonts w:ascii="Times New Roman" w:hAnsi="Times New Roman"/>
            <w:b w:val="false"/>
            <w:i w:val="false"/>
            <w:color w:val="000000"/>
            <w:sz w:val="22"/>
          </w:rPr>
          <w:t>rule 876—5.6(17A)</w:t>
        </w:r>
      </w:hyperlink>
      <w:r>
        <w:rPr>
          <w:rFonts w:ascii="Times New Roman" w:hAnsi="Times New Roman"/>
          <w:b w:val="false"/>
          <w:i w:val="false"/>
          <w:color w:val="000000"/>
          <w:sz w:val="22"/>
        </w:rPr>
        <w:t xml:space="preserve"> to whom notice is required by any provision of law. The workers’ compensation commissioner may also give notice to any other persons.</w:t>
      </w:r>
    </w:p>
    <w:p>
      <w:pPr>
        <w:spacing w:before="0" w:after="0"/>
        <w:ind w:left="120"/>
        <w:jc w:val="both"/>
      </w:pPr>
      <w:r>
        <w:rPr>
          <w:rFonts w:ascii="Times New Roman" w:hAnsi="Times New Roman"/>
          <w:b/>
          <w:i w:val="false"/>
          <w:color w:val="000000"/>
          <w:sz w:val="22"/>
        </w:rPr>
        <w:t>876—5.3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intervention. </w:t>
      </w:r>
      <w:r>
        <w:rPr>
          <w:rFonts w:ascii="Times New Roman" w:hAnsi="Times New Roman"/>
          <w:b w:val="false"/>
          <w:i w:val="false"/>
          <w:color w:val="000000"/>
          <w:sz w:val="22"/>
        </w:rPr>
        <w:t xml:space="preserve">Persons who qualify under any applicable provision of law as an intervenor and who file a petition for intervention within 15 working days of the filing of a petition for declaratory order and before 30-day time for agency action under </w:t>
      </w:r>
      <w:hyperlink r:id="rId7">
        <w:r>
          <w:rPr>
            <w:rStyle w:val="Hyperlink"/>
            <w:rFonts w:ascii="Times New Roman" w:hAnsi="Times New Roman"/>
            <w:b w:val="false"/>
            <w:i w:val="false"/>
            <w:color w:val="000000"/>
            <w:sz w:val="22"/>
          </w:rPr>
          <w:t>rule 876—5.8(17A)</w:t>
        </w:r>
      </w:hyperlink>
      <w:r>
        <w:rPr>
          <w:rFonts w:ascii="Times New Roman" w:hAnsi="Times New Roman"/>
          <w:b w:val="false"/>
          <w:i w:val="false"/>
          <w:color w:val="000000"/>
          <w:sz w:val="22"/>
        </w:rPr>
        <w:t xml:space="preserve">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Discretionary intervention.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Filing and form of petition for intervention. </w:t>
      </w:r>
      <w:r>
        <w:rPr>
          <w:rFonts w:ascii="Times New Roman" w:hAnsi="Times New Roman"/>
          <w:b w:val="false"/>
          <w:i w:val="false"/>
          <w:color w:val="000000"/>
          <w:sz w:val="22"/>
        </w:rPr>
        <w:t>A petition for intervention shall be filed at the office of the workers’ compensation commissioner. Such a petition is deemed filed when it is received by that office. The workers’ compensation commissioner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WORKERS’ COMPENSATION COMMISSIONER</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 for a Declaratory Order on (Cite provisions of law cited in Original Petition).</w:t>
            </w:r>
          </w:p>
          <w:p>
            <w:pPr>
              <w:spacing w:before="0" w:after="0"/>
              <w:ind w:left="160"/>
              <w:jc w:val="left"/>
            </w:pPr>
            <w:r>
              <w:rPr>
                <w:rFonts w:ascii="Times New Roman" w:hAnsi="Times New Roman"/>
                <w:b w:val="false"/>
                <w:i w:val="false"/>
                <w:color w:val="000000"/>
                <w:sz w:val="16"/>
              </w:rPr>
              <w:t>Petition for intervention by (Name of</w:t>
            </w:r>
          </w:p>
          <w:p>
            <w:pPr>
              <w:spacing w:before="0" w:after="0"/>
              <w:ind w:left="160"/>
              <w:jc w:val="left"/>
            </w:pPr>
            <w:r>
              <w:rPr>
                <w:rFonts w:ascii="Times New Roman" w:hAnsi="Times New Roman"/>
                <w:b w:val="false"/>
                <w:i w:val="false"/>
                <w:color w:val="000000"/>
                <w:sz w:val="16"/>
              </w:rPr>
              <w:t>Intervenor).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876—5.4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workers’ compensation commissioner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876—5.5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Workers’ Compensation Commissioner, 150 Des Moines Street,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876—5.6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 All documents filed shall indicate all parties or other persons served and the date and method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Workers’ Compensation Commissioner,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service. </w:t>
      </w:r>
      <w:r>
        <w:rPr>
          <w:rFonts w:ascii="Times New Roman" w:hAnsi="Times New Roman"/>
          <w:b w:val="false"/>
          <w:i w:val="false"/>
          <w:color w:val="000000"/>
          <w:sz w:val="22"/>
        </w:rPr>
        <w:t xml:space="preserve">Method of service and proof of service shall be as provided by </w:t>
      </w:r>
      <w:hyperlink r:id="rId8">
        <w:r>
          <w:rPr>
            <w:rStyle w:val="Hyperlink"/>
            <w:rFonts w:ascii="Times New Roman" w:hAnsi="Times New Roman"/>
            <w:b w:val="false"/>
            <w:i w:val="false"/>
            <w:color w:val="000000"/>
            <w:sz w:val="22"/>
          </w:rPr>
          <w:t>rules 876—4.13(86)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876—4.15(86)</w:t>
        </w:r>
      </w:hyperlink>
      <w:r>
        <w:rPr>
          <w:rFonts w:ascii="Times New Roman" w:hAnsi="Times New Roman"/>
          <w:b w:val="false"/>
          <w:i w:val="false"/>
          <w:color w:val="000000"/>
          <w:sz w:val="22"/>
        </w:rPr>
        <w:t>. All documents are considered filed when received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876—5.7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workers’ compensation commissioner must schedule a brief and informal meeting between the original petitioner, all intervenors, and the workers’ compensation commissioner or a member of the staff of the workers’ compensation commissioner to discuss the questions raised. The workers’ compensation commissioner may solicit comments from any person on the questions raised. Also, comments on the questions raised may be submitted to the workers’ compensation commissioner by any person.</w:t>
      </w:r>
    </w:p>
    <w:p>
      <w:pPr>
        <w:spacing w:before="0" w:after="0"/>
        <w:ind w:left="120"/>
        <w:jc w:val="both"/>
      </w:pPr>
      <w:r>
        <w:rPr>
          <w:rFonts w:ascii="Times New Roman" w:hAnsi="Times New Roman"/>
          <w:b/>
          <w:i w:val="false"/>
          <w:color w:val="000000"/>
          <w:sz w:val="22"/>
        </w:rPr>
        <w:t>876—5.8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action. </w:t>
      </w:r>
      <w:r>
        <w:rPr>
          <w:rFonts w:ascii="Times New Roman" w:hAnsi="Times New Roman"/>
          <w:b w:val="false"/>
          <w:i w:val="false"/>
          <w:color w:val="000000"/>
          <w:sz w:val="22"/>
        </w:rPr>
        <w:t xml:space="preserve">Within 30 days after receipt of a petition for a declaratory order, the workers’ compensation commissioner or the commissioner’s designee shall take action on the petition as required by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Date of issuance of order. </w:t>
      </w:r>
      <w:r>
        <w:rPr>
          <w:rFonts w:ascii="Times New Roman" w:hAnsi="Times New Roman"/>
          <w:b w:val="false"/>
          <w:i w:val="false"/>
          <w:color w:val="000000"/>
          <w:sz w:val="22"/>
        </w:rPr>
        <w:t>The date of issuance of an order or of a refusal to issue an order is the date the order or refusal is filed unless another date is specified in the order.</w:t>
      </w:r>
    </w:p>
    <w:p>
      <w:pPr>
        <w:spacing w:before="0" w:after="0"/>
        <w:ind w:left="120"/>
        <w:jc w:val="both"/>
      </w:pPr>
      <w:r>
        <w:rPr>
          <w:rFonts w:ascii="Times New Roman" w:hAnsi="Times New Roman"/>
          <w:b/>
          <w:i w:val="false"/>
          <w:color w:val="000000"/>
          <w:sz w:val="22"/>
        </w:rPr>
        <w:t>876—5.9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workers’ compensation commissioner shall not issue a declaratory order where prohibited by Iowa Code section </w:t>
      </w:r>
      <w:hyperlink r:id="rId11">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workers’ compensation commissioner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workers’ compensation commissioner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workers’ compensation commissioner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Action on refusal. 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val="false"/>
          <w:color w:val="000000"/>
          <w:sz w:val="22"/>
        </w:rPr>
        <w:t>Filing of new petition. Refusal to issue a declaratory order pursuant to this provision does not preclude the filing of a new petition that seeks to eliminate the grounds for the workers’ compensation commissioner’s refusal to issue an order.</w:t>
      </w:r>
    </w:p>
    <w:p>
      <w:pPr>
        <w:spacing w:before="0" w:after="0"/>
        <w:ind w:left="120"/>
        <w:jc w:val="both"/>
      </w:pPr>
      <w:r>
        <w:rPr>
          <w:rFonts w:ascii="Times New Roman" w:hAnsi="Times New Roman"/>
          <w:b/>
          <w:i w:val="false"/>
          <w:color w:val="000000"/>
          <w:sz w:val="22"/>
        </w:rPr>
        <w:t>876—5.10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order—effective date. </w:t>
      </w:r>
      <w:r>
        <w:rPr>
          <w:rFonts w:ascii="Times New Roman" w:hAnsi="Times New Roman"/>
          <w:b w:val="false"/>
          <w:i w:val="false"/>
          <w:color w:val="000000"/>
          <w:sz w:val="22"/>
        </w:rPr>
        <w:t>In addition to the ruling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876—5.11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876—5.12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workers’ compensation commissioner,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workers’ compensation commissioner. The issuance of a declaratory order constitutes final agency action on the petition.</w:t>
      </w:r>
    </w:p>
    <w:p>
      <w:pPr>
        <w:spacing w:before="210" w:after="0"/>
        <w:ind w:left="120"/>
        <w:jc w:val="both"/>
      </w:pPr>
      <w:r>
        <w:rPr>
          <w:rFonts w:ascii="Times New Roman" w:hAnsi="Times New Roman"/>
          <w:b/>
          <w:i w:val="false"/>
          <w:color w:val="000000"/>
          <w:sz w:val="22"/>
        </w:rPr>
        <w:t>876—5.13</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fee. </w:t>
      </w:r>
      <w:r>
        <w:rPr>
          <w:rFonts w:ascii="Times New Roman" w:hAnsi="Times New Roman"/>
          <w:b w:val="false"/>
          <w:i w:val="false"/>
          <w:color w:val="000000"/>
          <w:sz w:val="22"/>
        </w:rPr>
        <w:t xml:space="preserve">No filing fee is due for filing a petition for declaratory order or a petition for intervention. See 876—paragraph </w:t>
      </w:r>
      <w:hyperlink r:id="rId12">
        <w:r>
          <w:rPr>
            <w:rStyle w:val="Hyperlink"/>
            <w:rFonts w:ascii="Times New Roman" w:hAnsi="Times New Roman"/>
            <w:b w:val="false"/>
            <w:i w:val="false"/>
            <w:color w:val="000000"/>
            <w:sz w:val="22"/>
          </w:rPr>
          <w:t>4.8(2)</w:t>
        </w:r>
      </w:hyperlink>
      <w:r>
        <w:rPr>
          <w:rFonts w:ascii="Times New Roman" w:hAnsi="Times New Roman"/>
          <w:b w:val="false"/>
          <w:i/>
          <w:color w:val="000000"/>
          <w:sz w:val="22"/>
        </w:rPr>
        <w:t>“a.”</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[Emergency filed and effective 9/19/75—published 10/6/75]</w:t>
      </w:r>
    </w:p>
    <w:p>
      <w:pPr>
        <w:spacing w:before="0" w:after="0"/>
        <w:ind w:left="120"/>
        <w:jc w:val="center"/>
      </w:pPr>
      <w:r>
        <w:rPr>
          <w:rFonts w:ascii="Times New Roman" w:hAnsi="Times New Roman"/>
          <w:b w:val="false"/>
          <w:i w:val="false"/>
          <w:color w:val="000000"/>
          <w:sz w:val="21"/>
        </w:rPr>
        <w:t>[Filed 11/17/75, Notice 10/6/75—published 12/1/75, effective 1/5/76]</w:t>
      </w:r>
    </w:p>
    <w:p>
      <w:pPr>
        <w:spacing w:before="0" w:after="0"/>
        <w:ind w:left="120"/>
        <w:jc w:val="center"/>
      </w:pPr>
      <w:r>
        <w:rPr>
          <w:rFonts w:ascii="Times New Roman" w:hAnsi="Times New Roman"/>
          <w:b w:val="false"/>
          <w:i w:val="false"/>
          <w:color w:val="000000"/>
          <w:sz w:val="21"/>
        </w:rPr>
        <w:t>[Filed 9/26/80, Notice 8/20/80—published 10/15/80, effective 11/19/80]</w:t>
      </w:r>
    </w:p>
    <w:p>
      <w:pPr>
        <w:spacing w:before="0" w:after="0"/>
        <w:ind w:left="120"/>
        <w:jc w:val="center"/>
      </w:pPr>
      <w:r>
        <w:rPr>
          <w:rFonts w:ascii="Times New Roman" w:hAnsi="Times New Roman"/>
          <w:b w:val="false"/>
          <w:i w:val="false"/>
          <w:color w:val="000000"/>
          <w:sz w:val="21"/>
        </w:rPr>
        <w:t>[Filed emergency 7/12/85—published 7/31/85, effective 7/12/85]</w:t>
      </w:r>
    </w:p>
    <w:p>
      <w:pPr>
        <w:spacing w:before="0" w:after="0"/>
        <w:ind w:left="120"/>
        <w:jc w:val="center"/>
      </w:pPr>
      <w:r>
        <w:rPr>
          <w:rFonts w:ascii="Times New Roman" w:hAnsi="Times New Roman"/>
          <w:b w:val="false"/>
          <w:i w:val="false"/>
          <w:color w:val="000000"/>
          <w:sz w:val="21"/>
        </w:rPr>
        <w:t xml:space="preserve">[Editorially transferred from [500] to [343] IAC Supp. 9/24/86, see </w:t>
      </w:r>
      <w:r>
        <w:rPr>
          <w:rFonts w:ascii="Times New Roman" w:hAnsi="Times New Roman"/>
          <w:b w:val="false"/>
          <w:i w:val="false"/>
          <w:color w:val="000000"/>
          <w:sz w:val="21"/>
        </w:rPr>
        <w:t>IAB 7/16/86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11/24/86—published 12/17/86, effective 11/24/86]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Emergency After Notice ARC 4568C</w:t>
      </w:r>
      <w:r>
        <w:rPr>
          <w:rFonts w:ascii="Times New Roman" w:hAnsi="Times New Roman"/>
          <w:b w:val="false"/>
          <w:i w:val="false"/>
          <w:color w:val="000000"/>
          <w:sz w:val="21"/>
        </w:rPr>
        <w:t xml:space="preserve"> (Notice ARC 4472C, IAB 6/5/19)</w:t>
      </w:r>
      <w:r>
        <w:rPr>
          <w:rFonts w:ascii="Times New Roman" w:hAnsi="Times New Roman"/>
          <w:b w:val="false"/>
          <w:i w:val="false"/>
          <w:color w:val="000000"/>
          <w:sz w:val="21"/>
        </w:rPr>
        <w:t>, IAB 7/31/19, effective 7/10/19]</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6.5.7.pdf" Type="http://schemas.openxmlformats.org/officeDocument/2006/relationships/hyperlink" Id="rId5"/>
    <Relationship TargetMode="External" Target="https://www.legis.iowa.gov/docs/iac/rule/876.5.6.pdf" Type="http://schemas.openxmlformats.org/officeDocument/2006/relationships/hyperlink" Id="rId6"/>
    <Relationship TargetMode="External" Target="https://www.legis.iowa.gov/docs/iac/rule/876.5.8.pdf" Type="http://schemas.openxmlformats.org/officeDocument/2006/relationships/hyperlink" Id="rId7"/>
    <Relationship TargetMode="External" Target="https://www.legis.iowa.gov/docs/iac/rule/876.4.13.pdf" Type="http://schemas.openxmlformats.org/officeDocument/2006/relationships/hyperlink" Id="rId8"/>
    <Relationship TargetMode="External" Target="https://www.legis.iowa.gov/docs/iac/rule/876.4.15.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ac/rule/876.4.8.pdf" Type="http://schemas.openxmlformats.org/officeDocument/2006/relationships/hyperlink" Id="rId12"/>
    <Relationship TargetMode="External" Target="https://www.legis.iowa.gov/docs/ico/chapter/17A.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