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876—4.1</w:t>
      </w:r>
      <w:r>
        <w:rPr>
          <w:rFonts w:ascii="Times New Roman" w:hAnsi="Times New Roman"/>
          <w:b/>
          <w:i w:val="false"/>
          <w:color w:val="000000"/>
          <w:sz w:val="22"/>
        </w:rPr>
        <w:t xml:space="preserve">(85,85A,85B,86,87,17A)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Contested case proceedings before the workers’ compensation commissioner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 xml:space="preserve">Arbitration (Iowa Code section </w:t>
      </w:r>
      <w:hyperlink r:id="rId5">
        <w:r>
          <w:rPr>
            <w:rStyle w:val="Hyperlink"/>
            <w:rFonts w:ascii="Times New Roman" w:hAnsi="Times New Roman"/>
            <w:b w:val="false"/>
            <w:i w:val="false"/>
            <w:color w:val="000000"/>
            <w:sz w:val="22"/>
          </w:rPr>
          <w:t>86.14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award or settlement (review-reopening, Iowa Code section </w:t>
      </w:r>
      <w:hyperlink r:id="rId6">
        <w:r>
          <w:rPr>
            <w:rStyle w:val="Hyperlink"/>
            <w:rFonts w:ascii="Times New Roman" w:hAnsi="Times New Roman"/>
            <w:b w:val="false"/>
            <w:i w:val="false"/>
            <w:color w:val="000000"/>
            <w:sz w:val="22"/>
          </w:rPr>
          <w:t>86.14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Benefits under Iowa Code section </w:t>
      </w:r>
      <w:hyperlink r:id="rId7">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val="false"/>
          <w:color w:val="000000"/>
          <w:sz w:val="22"/>
        </w:rPr>
        <w:t xml:space="preserve">Death and burial benefits (Iowa Code sections </w:t>
      </w:r>
      <w:hyperlink r:id="rId8">
        <w:r>
          <w:rPr>
            <w:rStyle w:val="Hyperlink"/>
            <w:rFonts w:ascii="Times New Roman" w:hAnsi="Times New Roman"/>
            <w:b w:val="false"/>
            <w:i w:val="false"/>
            <w:color w:val="000000"/>
            <w:sz w:val="22"/>
          </w:rPr>
          <w:t>85.28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85.29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dependency (Iowa Code sections </w:t>
      </w:r>
      <w:hyperlink r:id="rId11">
        <w:r>
          <w:rPr>
            <w:rStyle w:val="Hyperlink"/>
            <w:rFonts w:ascii="Times New Roman" w:hAnsi="Times New Roman"/>
            <w:b w:val="false"/>
            <w:i w:val="false"/>
            <w:color w:val="000000"/>
            <w:sz w:val="22"/>
          </w:rPr>
          <w:t>85.42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apportionment (Iowa Code section </w:t>
      </w:r>
      <w:hyperlink r:id="rId14">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injury fund (Iowa Code section </w:t>
      </w:r>
      <w:hyperlink r:id="rId15">
        <w:r>
          <w:rPr>
            <w:rStyle w:val="Hyperlink"/>
            <w:rFonts w:ascii="Times New Roman" w:hAnsi="Times New Roman"/>
            <w:b w:val="false"/>
            <w:i w:val="false"/>
            <w:color w:val="000000"/>
            <w:sz w:val="22"/>
          </w:rPr>
          <w:t>85.63</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rehabilitation benefits (Iowa Code section </w:t>
      </w:r>
      <w:hyperlink r:id="rId16">
        <w:r>
          <w:rPr>
            <w:rStyle w:val="Hyperlink"/>
            <w:rFonts w:ascii="Times New Roman" w:hAnsi="Times New Roman"/>
            <w:b w:val="false"/>
            <w:i w:val="false"/>
            <w:color w:val="000000"/>
            <w:sz w:val="22"/>
          </w:rPr>
          <w:t>85.70(1)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training and education (Iowa Code section </w:t>
      </w:r>
      <w:hyperlink r:id="rId17">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fees under Iowa Code section </w:t>
      </w:r>
      <w:hyperlink r:id="rId18">
        <w:r>
          <w:rPr>
            <w:rStyle w:val="Hyperlink"/>
            <w:rFonts w:ascii="Times New Roman" w:hAnsi="Times New Roman"/>
            <w:b w:val="false"/>
            <w:i w:val="false"/>
            <w:color w:val="000000"/>
            <w:sz w:val="22"/>
          </w:rPr>
          <w:t>86.39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Commutation (Iowa Code section </w:t>
      </w:r>
      <w:hyperlink r:id="rId19">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(Iowa Code section </w:t>
      </w:r>
      <w:hyperlink r:id="rId20">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2/8/23</w:t>
      </w:r>
      <w:r>
        <w:rPr>
          <w:rFonts w:ascii="Times New Roman" w:hAnsi="Times New Roman"/>
          <w:b w:val="false"/>
          <w:i w:val="false"/>
          <w:color w:val="000000"/>
          <w:sz w:val="22"/>
        </w:rPr>
        <w:t>, effective 3/15/23.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compliance with Iowa Code chapters </w:t>
      </w:r>
      <w:hyperlink r:id="rId2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alternate medical care (Iowa Code section </w:t>
      </w:r>
      <w:hyperlink r:id="rId26">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liability, reimbursement for benefits paid and recovery of interest (Iowa Code section </w:t>
      </w:r>
      <w:hyperlink r:id="rId27">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(Iowa Code section </w:t>
      </w:r>
      <w:hyperlink r:id="rId28">
        <w:r>
          <w:rPr>
            <w:rStyle w:val="Hyperlink"/>
            <w:rFonts w:ascii="Times New Roman" w:hAnsi="Times New Roman"/>
            <w:b w:val="false"/>
            <w:i w:val="false"/>
            <w:color w:val="000000"/>
            <w:sz w:val="22"/>
          </w:rPr>
          <w:t>85.30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(Iowa Code section </w:t>
      </w:r>
      <w:hyperlink r:id="rId29">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approval of third-party settlement (Iowa Code section </w:t>
      </w:r>
      <w:hyperlink r:id="rId30">
        <w:r>
          <w:rPr>
            <w:rStyle w:val="Hyperlink"/>
            <w:rFonts w:ascii="Times New Roman" w:hAnsi="Times New Roman"/>
            <w:b w:val="false"/>
            <w:i w:val="false"/>
            <w:color w:val="000000"/>
            <w:sz w:val="22"/>
          </w:rPr>
          <w:t>85.22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w:t>
      </w:r>
      <w:r>
        <w:rPr>
          <w:rFonts w:ascii="Times New Roman" w:hAnsi="Times New Roman"/>
          <w:b w:val="false"/>
          <w:i w:val="false"/>
          <w:color w:val="000000"/>
          <w:sz w:val="22"/>
        </w:rPr>
        <w:t> </w:t>
      </w:r>
      <w:r>
        <w:rPr>
          <w:rFonts w:ascii="Times New Roman" w:hAnsi="Times New Roman"/>
          <w:b w:val="false"/>
          <w:i w:val="false"/>
          <w:color w:val="000000"/>
          <w:sz w:val="22"/>
        </w:rPr>
        <w:t>Matters that would be a contested case if there were a dispute over the existence of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Any other issue determinable upon evidential hearing which is under the jurisdiction of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the statutory sections noted in each category of the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w:t>
      </w:r>
      <w:r>
        <w:rPr>
          <w:rFonts w:ascii="Times New Roman" w:hAnsi="Times New Roman"/>
          <w:b/>
          <w:i w:val="false"/>
          <w:color w:val="000000"/>
          <w:sz w:val="22"/>
        </w:rPr>
        <w:t xml:space="preserve">(86) </w:t>
      </w:r>
      <w:r>
        <w:rPr>
          <w:rFonts w:ascii="Times New Roman" w:hAnsi="Times New Roman"/>
          <w:b/>
          <w:i w:val="false"/>
          <w:color w:val="000000"/>
          <w:sz w:val="22"/>
        </w:rPr>
        <w:t xml:space="preserve">Separate evidentiary hearing or consolidation of proceedings. </w:t>
      </w:r>
      <w:r>
        <w:rPr>
          <w:rFonts w:ascii="Times New Roman" w:hAnsi="Times New Roman"/>
          <w:b w:val="false"/>
          <w:i w:val="false"/>
          <w:color w:val="000000"/>
          <w:sz w:val="22"/>
        </w:rPr>
        <w:t>A person presiding over a contested case proceeding in a workers’ compensation matter may conduct a separate evidentiary hearing for determination of any issue in the contested case proceeding which goes to the whole or any material part of the case. An order determining the issue presented shall be issued before a hearing is held on the remaining issues. The issue determined in the separate evidentiary hearing shall be precluded at the hearing of the remaining issues. If the order on the separate issue does not dispose of the whole case, it shall be deemed interlocutory for purposes of appeal.</w:t>
      </w:r>
    </w:p>
    <w:p>
      <w:pPr>
        <w:spacing w:before="0" w:after="0"/>
        <w:ind w:left="120"/>
        <w:jc w:val="both"/>
      </w:pPr>
      <w:r>
        <w:rPr>
          <w:rFonts w:ascii="Times New Roman" w:hAnsi="Times New Roman"/>
          <w:b w:val="false"/>
          <w:i w:val="false"/>
          <w:color w:val="000000"/>
          <w:sz w:val="22"/>
        </w:rPr>
        <w:t>When any contested case proceeding shall be filed prior to or subsequent to the filing of an arbitration or review-reopening proceeding and is of such a nature that it is an integral part of the arbitration or review-reopening proceeding, it shall be deemed merged with the arbitration or review-reopening proceeding. No appeal to the workers’ compensation commissioner of a deputy workers’ compensation commissioner’s order in such a merged proceeding shall be had separately from the decision in arbitration or review-reopening unless appeal to the commissioner from the arbitration or review-reopening decision would not provide an adequate remedy.</w:t>
      </w:r>
    </w:p>
    <w:p>
      <w:pPr>
        <w:spacing w:before="0" w:after="0"/>
        <w:ind w:left="120"/>
        <w:jc w:val="both"/>
      </w:pPr>
      <w:r>
        <w:rPr>
          <w:rFonts w:ascii="Times New Roman" w:hAnsi="Times New Roman"/>
          <w:b w:val="false"/>
          <w:i w:val="false"/>
          <w:color w:val="000000"/>
          <w:sz w:val="22"/>
        </w:rPr>
        <w:t xml:space="preserve">Entitlement to denial or delay benefits provided in Iowa Code section </w:t>
      </w:r>
      <w:hyperlink r:id="rId33">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shall be pled, and if pled, discovery shall be limited to matters discoverable in the absence of such pleading unless it is bifurcated. The claimant may bifurcate the denial or delay issue by filing and serving a notice of bifurcation at any time before a case is assigned for hearing, in which case discovery on that issue may proceed only after the final decision of the agency on all other issues.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w:t>
      </w:r>
      <w:r>
        <w:rPr>
          <w:rFonts w:ascii="Times New Roman" w:hAnsi="Times New Roman"/>
          <w:b/>
          <w:i w:val="false"/>
          <w:color w:val="000000"/>
          <w:sz w:val="22"/>
        </w:rPr>
        <w:t xml:space="preserve">(85,85A,86,87) </w:t>
      </w:r>
      <w:r>
        <w:rPr>
          <w:rFonts w:ascii="Times New Roman" w:hAnsi="Times New Roman"/>
          <w:b/>
          <w:i w:val="false"/>
          <w:color w:val="000000"/>
          <w:sz w:val="22"/>
        </w:rPr>
        <w:t xml:space="preserve">Compliance proceedings. </w:t>
      </w:r>
      <w:r>
        <w:rPr>
          <w:rFonts w:ascii="Times New Roman" w:hAnsi="Times New Roman"/>
          <w:b w:val="false"/>
          <w:i w:val="false"/>
          <w:color w:val="000000"/>
          <w:sz w:val="22"/>
        </w:rPr>
        <w:t xml:space="preserve">If the workers’ compensation commissioner shall have reason to believe that there has not been compliance with the workers’ compensation law by any person or entity, the workers’ compensation commissioner may on the workers’ compensation commissioner’s own motion give notice to the person or entity and schedule a hearing for the purpose of determining whether or not there has been compliance by the person or entity. The notice shall state the time and place of the hearing and a brief statement of the matters to be considered. The notice of hearing may be given by ordinary mail or by WCES if the alleged noncompliant person or entity is registered in WCES and is currently participating in a contested case using WCES and may be given to the insurer for the employer in lieu of the employer as permitted by Iowa Code section </w:t>
      </w:r>
      <w:hyperlink r:id="rId37">
        <w:r>
          <w:rPr>
            <w:rStyle w:val="Hyperlink"/>
            <w:rFonts w:ascii="Times New Roman" w:hAnsi="Times New Roman"/>
            <w:b w:val="false"/>
            <w:i w:val="false"/>
            <w:color w:val="000000"/>
            <w:sz w:val="22"/>
          </w:rPr>
          <w:t>87.10</w:t>
        </w:r>
      </w:hyperlink>
      <w:r>
        <w:rPr>
          <w:rFonts w:ascii="Times New Roman" w:hAnsi="Times New Roman"/>
          <w:b w:val="false"/>
          <w:i w:val="false"/>
          <w:color w:val="000000"/>
          <w:sz w:val="22"/>
        </w:rPr>
        <w:t xml:space="preserve"> if the insurer has filed a report, pleading or motion that acknowledges that it is the insurer for the claim at issue. Following the hearing, the workers’ compensation commissioner or a deputy workers’ compensation commissioner may issue a finding regarding compliance. In the event a failure to comply is found, the workers’ compensation commissioner may impose sanctions in accordance with Iowa Code section </w:t>
      </w:r>
      <w:hyperlink r:id="rId38">
        <w:r>
          <w:rPr>
            <w:rStyle w:val="Hyperlink"/>
            <w:rFonts w:ascii="Times New Roman" w:hAnsi="Times New Roman"/>
            <w:b w:val="false"/>
            <w:i w:val="false"/>
            <w:color w:val="000000"/>
            <w:sz w:val="22"/>
          </w:rPr>
          <w:t>86.12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86.13A</w:t>
        </w:r>
      </w:hyperlink>
      <w:r>
        <w:rPr>
          <w:rFonts w:ascii="Times New Roman" w:hAnsi="Times New Roman"/>
          <w:b w:val="false"/>
          <w:i w:val="false"/>
          <w:color w:val="000000"/>
          <w:sz w:val="22"/>
        </w:rPr>
        <w:t xml:space="preserve"> or order compliance within a specified time and under specified circumstances. The workers’ compensation commissioner may file a certified copy of the order in an appropriate district court and may file a certified copy of the order with the Iowa insurance division of the department of commerce with a request for action by the insurance division upon failure to comply with the order.</w:t>
      </w:r>
    </w:p>
    <w:p>
      <w:pPr>
        <w:spacing w:before="0" w:after="0"/>
        <w:ind w:left="120"/>
        <w:jc w:val="both"/>
      </w:pPr>
      <w:r>
        <w:rPr>
          <w:rFonts w:ascii="Times New Roman" w:hAnsi="Times New Roman"/>
          <w:b w:val="false"/>
          <w:i w:val="false"/>
          <w:color w:val="000000"/>
          <w:sz w:val="22"/>
        </w:rPr>
        <w:t>Nothing in this rule shall prevent the workers’ compensation commissioner from conducting an informal conference with any person or entity concerning problems of compliance prior to the initiation of a compliance proceeding.</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876—4.4</w:t>
      </w:r>
      <w:r>
        <w:rPr>
          <w:rFonts w:ascii="Times New Roman" w:hAnsi="Times New Roman"/>
          <w:b/>
          <w:i w:val="false"/>
          <w:color w:val="000000"/>
          <w:sz w:val="22"/>
        </w:rPr>
        <w:t xml:space="preserve">(86) </w:t>
      </w:r>
      <w:r>
        <w:rPr>
          <w:rFonts w:ascii="Times New Roman" w:hAnsi="Times New Roman"/>
          <w:b/>
          <w:i w:val="false"/>
          <w:color w:val="000000"/>
          <w:sz w:val="22"/>
        </w:rPr>
        <w:t xml:space="preserve">Request for hearing. </w:t>
      </w:r>
      <w:r>
        <w:rPr>
          <w:rFonts w:ascii="Times New Roman" w:hAnsi="Times New Roman"/>
          <w:b w:val="false"/>
          <w:i w:val="false"/>
          <w:color w:val="000000"/>
          <w:sz w:val="22"/>
        </w:rPr>
        <w:t>A hearing shall not be held in proceedings under subrules </w:t>
      </w:r>
      <w:hyperlink r:id="rId45">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to </w:t>
      </w:r>
      <w:hyperlink r:id="rId46">
        <w:r>
          <w:rPr>
            <w:rStyle w:val="Hyperlink"/>
            <w:rFonts w:ascii="Times New Roman" w:hAnsi="Times New Roman"/>
            <w:b w:val="false"/>
            <w:i w:val="false"/>
            <w:color w:val="000000"/>
            <w:sz w:val="22"/>
          </w:rPr>
          <w:t>4.1(12)</w:t>
        </w:r>
      </w:hyperlink>
      <w:r>
        <w:rPr>
          <w:rFonts w:ascii="Times New Roman" w:hAnsi="Times New Roman"/>
          <w:b w:val="false"/>
          <w:i w:val="false"/>
          <w:color w:val="000000"/>
          <w:sz w:val="22"/>
        </w:rPr>
        <w:t>, unless otherwise ordered or requested in writing by the petitioner in the original notice or petition or by the respondent within ten days following the time allowed by these rules for appearance.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7">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876—4.5</w:t>
      </w:r>
      <w:r>
        <w:rPr>
          <w:rFonts w:ascii="Times New Roman" w:hAnsi="Times New Roman"/>
          <w:b/>
          <w:i w:val="false"/>
          <w:color w:val="000000"/>
          <w:sz w:val="22"/>
        </w:rPr>
        <w:t xml:space="preserve">(86) </w:t>
      </w:r>
      <w:r>
        <w:rPr>
          <w:rFonts w:ascii="Times New Roman" w:hAnsi="Times New Roman"/>
          <w:b/>
          <w:i w:val="false"/>
          <w:color w:val="000000"/>
          <w:sz w:val="22"/>
        </w:rPr>
        <w:t xml:space="preserve">Commencement by the workers’ compensation commissioner. </w:t>
      </w:r>
      <w:r>
        <w:rPr>
          <w:rFonts w:ascii="Times New Roman" w:hAnsi="Times New Roman"/>
          <w:b w:val="false"/>
          <w:i w:val="false"/>
          <w:color w:val="000000"/>
          <w:sz w:val="22"/>
        </w:rPr>
        <w:t xml:space="preserve">In addition to an aggrieved party, the workers’ compensation commissioner may initiate proceedings under subrule </w:t>
      </w:r>
      <w:hyperlink r:id="rId48">
        <w:r>
          <w:rPr>
            <w:rStyle w:val="Hyperlink"/>
            <w:rFonts w:ascii="Times New Roman" w:hAnsi="Times New Roman"/>
            <w:b w:val="false"/>
            <w:i w:val="false"/>
            <w:color w:val="000000"/>
            <w:sz w:val="22"/>
          </w:rPr>
          <w:t>4.1(10)</w:t>
        </w:r>
      </w:hyperlink>
      <w:r>
        <w:rPr>
          <w:rFonts w:ascii="Times New Roman" w:hAnsi="Times New Roman"/>
          <w:b w:val="false"/>
          <w:i w:val="false"/>
          <w:color w:val="000000"/>
          <w:sz w:val="22"/>
        </w:rPr>
        <w:t xml:space="preserve">. The proceeding may be held before a deputy workers’ compensation commissioner or the workers’ compensation commissioner. The workers’ compensation commissioner shall be the only person to commence a proceeding under subrule </w:t>
      </w:r>
      <w:hyperlink r:id="rId49">
        <w:r>
          <w:rPr>
            <w:rStyle w:val="Hyperlink"/>
            <w:rFonts w:ascii="Times New Roman" w:hAnsi="Times New Roman"/>
            <w:b w:val="false"/>
            <w:i w:val="false"/>
            <w:color w:val="000000"/>
            <w:sz w:val="22"/>
          </w:rPr>
          <w:t>4.1(14)</w:t>
        </w:r>
      </w:hyperlink>
      <w:r>
        <w:rPr>
          <w:rFonts w:ascii="Times New Roman" w:hAnsi="Times New Roman"/>
          <w:b w:val="false"/>
          <w:i w:val="false"/>
          <w:color w:val="000000"/>
          <w:sz w:val="22"/>
        </w:rPr>
        <w:t>, unless such authority is specifically delegated by the workers’ compensation commissioner to a deputy workers’ compensation commissioner concerning a specific matter.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0">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876—4.6</w:t>
      </w:r>
      <w:r>
        <w:rPr>
          <w:rFonts w:ascii="Times New Roman" w:hAnsi="Times New Roman"/>
          <w:b/>
          <w:i w:val="false"/>
          <w:color w:val="000000"/>
          <w:sz w:val="22"/>
        </w:rPr>
        <w:t xml:space="preserve">(85,86,17A) </w:t>
      </w:r>
      <w:r>
        <w:rPr>
          <w:rFonts w:ascii="Times New Roman" w:hAnsi="Times New Roman"/>
          <w:b/>
          <w:i w:val="false"/>
          <w:color w:val="000000"/>
          <w:sz w:val="22"/>
        </w:rPr>
        <w:t xml:space="preserve">Original notice and petition. </w:t>
      </w:r>
      <w:r>
        <w:rPr>
          <w:rFonts w:ascii="Times New Roman" w:hAnsi="Times New Roman"/>
          <w:b w:val="false"/>
          <w:i w:val="false"/>
          <w:color w:val="000000"/>
          <w:sz w:val="22"/>
        </w:rPr>
        <w:t>A petition or application must be delivered or filed with the original notice unless original notice Form 100, Form 100A, Form 100B, or Form 100D of the division of workers’ compensation is used.</w:t>
      </w:r>
    </w:p>
    <w:p>
      <w:pPr>
        <w:spacing w:before="0" w:after="0"/>
        <w:ind w:left="120"/>
        <w:jc w:val="both"/>
      </w:pPr>
      <w:r>
        <w:rPr>
          <w:rFonts w:ascii="Times New Roman" w:hAnsi="Times New Roman"/>
          <w:b w:val="false"/>
          <w:i w:val="false"/>
          <w:color w:val="000000"/>
          <w:sz w:val="22"/>
        </w:rPr>
        <w:t xml:space="preserve">The original notice Form 100, Form 100A, Form 100B, Form 100C, Form 100D, or a determination of liability reimbursement for benefits paid and recovery of interest form shall provide for the data required in Iowa Code section </w:t>
      </w:r>
      <w:hyperlink r:id="rId51">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shall contain factors relevant to the contested case proceedings listed in rule </w:t>
      </w:r>
      <w:hyperlink r:id="rId52">
        <w:r>
          <w:rPr>
            <w:rStyle w:val="Hyperlink"/>
            <w:rFonts w:ascii="Times New Roman" w:hAnsi="Times New Roman"/>
            <w:b w:val="false"/>
            <w:i w:val="false"/>
            <w:color w:val="000000"/>
            <w:sz w:val="22"/>
          </w:rPr>
          <w:t>876—4.1</w:t>
        </w:r>
      </w:hyperlink>
      <w:r>
        <w:rPr>
          <w:rFonts w:ascii="Times New Roman" w:hAnsi="Times New Roman"/>
          <w:b w:val="false"/>
          <w:i w:val="false"/>
          <w:color w:val="000000"/>
          <w:sz w:val="22"/>
        </w:rPr>
        <w:t xml:space="preserve">(85,85A,85B,86,87,17A). Form 100 is to be used for all contested case proceedings except as indicated in this rule. Form 100A is to be used for the contested case proceedings provided for in subrule </w:t>
      </w:r>
      <w:hyperlink r:id="rId53">
        <w:r>
          <w:rPr>
            <w:rStyle w:val="Hyperlink"/>
            <w:rFonts w:ascii="Times New Roman" w:hAnsi="Times New Roman"/>
            <w:b w:val="false"/>
            <w:i w:val="false"/>
            <w:color w:val="000000"/>
            <w:sz w:val="22"/>
          </w:rPr>
          <w:t>4.1(12)</w:t>
        </w:r>
      </w:hyperlink>
      <w:r>
        <w:rPr>
          <w:rFonts w:ascii="Times New Roman" w:hAnsi="Times New Roman"/>
          <w:b w:val="false"/>
          <w:i w:val="false"/>
          <w:color w:val="000000"/>
          <w:sz w:val="22"/>
        </w:rPr>
        <w:t xml:space="preserve">. Form 100B is to be used for the contested case proceeding provided for in subrule </w:t>
      </w:r>
      <w:hyperlink r:id="rId54">
        <w:r>
          <w:rPr>
            <w:rStyle w:val="Hyperlink"/>
            <w:rFonts w:ascii="Times New Roman" w:hAnsi="Times New Roman"/>
            <w:b w:val="false"/>
            <w:i w:val="false"/>
            <w:color w:val="000000"/>
            <w:sz w:val="22"/>
          </w:rPr>
          <w:t>4.1(8)</w:t>
        </w:r>
      </w:hyperlink>
      <w:r>
        <w:rPr>
          <w:rFonts w:ascii="Times New Roman" w:hAnsi="Times New Roman"/>
          <w:b w:val="false"/>
          <w:i w:val="false"/>
          <w:color w:val="000000"/>
          <w:sz w:val="22"/>
        </w:rPr>
        <w:t xml:space="preserve">. Form 100C is to be used for the contested case proceeding provided for in subrule 4.1(15) and rule </w:t>
      </w:r>
      <w:hyperlink r:id="rId55">
        <w:r>
          <w:rPr>
            <w:rStyle w:val="Hyperlink"/>
            <w:rFonts w:ascii="Times New Roman" w:hAnsi="Times New Roman"/>
            <w:b w:val="false"/>
            <w:i w:val="false"/>
            <w:color w:val="000000"/>
            <w:sz w:val="22"/>
          </w:rPr>
          <w:t>876—4.48</w:t>
        </w:r>
      </w:hyperlink>
      <w:r>
        <w:rPr>
          <w:rFonts w:ascii="Times New Roman" w:hAnsi="Times New Roman"/>
          <w:b w:val="false"/>
          <w:i w:val="false"/>
          <w:color w:val="000000"/>
          <w:sz w:val="22"/>
        </w:rPr>
        <w:t xml:space="preserve">(17A,85,86). Form 100D is to be used for the contested case proceeding provided for in rule 876—4.50(85). The application and consent order for payment of benefits under Iowa Code section </w:t>
      </w:r>
      <w:hyperlink r:id="rId56">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 xml:space="preserve"> is to be used for contested case proceedings brought under Iowa Code section </w:t>
      </w:r>
      <w:hyperlink r:id="rId57">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 When a commutation is sought, Form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14-0013 or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14-0017 must be filed in addition to any other document. The petition for declaratory order, approval of attorney fees, determination of compliance and other proceedings not covered in the original notice forms must accompany the original notice.</w:t>
      </w:r>
    </w:p>
    <w:p>
      <w:pPr>
        <w:spacing w:before="0" w:after="0"/>
        <w:ind w:left="120"/>
        <w:jc w:val="both"/>
      </w:pPr>
      <w:r>
        <w:rPr>
          <w:rFonts w:ascii="Times New Roman" w:hAnsi="Times New Roman"/>
          <w:b w:val="false"/>
          <w:i w:val="false"/>
          <w:color w:val="000000"/>
          <w:sz w:val="22"/>
        </w:rPr>
        <w:t>At the same time and in the same manner as service of the original notice and petition, the claimant shall serve a patient’s waiver using Form 14-0043 (authorization for release of information regarding claimants seeking workers’ compensation benefits), or a substantially equivalent form, which shall not be revoked until conclusion of the contested case. The claimant shall provide the patient’s waivers in other forms and update the patient’s waivers as necessary to permit full disclosure of discoverable information whenever requested by a medical practitioner or institution.</w:t>
      </w:r>
    </w:p>
    <w:p>
      <w:pPr>
        <w:spacing w:before="0" w:after="0"/>
        <w:ind w:left="120"/>
        <w:jc w:val="both"/>
      </w:pPr>
      <w:r>
        <w:rPr>
          <w:rFonts w:ascii="Times New Roman" w:hAnsi="Times New Roman"/>
          <w:b w:val="false"/>
          <w:i w:val="false"/>
          <w:color w:val="000000"/>
          <w:sz w:val="22"/>
        </w:rPr>
        <w:t>A separate original notice and petition shall be filed for each claim that seeks benefits due to the occurrence of an injury, occupational disease or occupational hearing loss. The original notice and petition shall allege a specific date of occurrence consisting of a day, month and year. Alternate or multiple dates of occurrence may be alleged in the same original notice and petition if the claim or claims arose from the same occurrence or series of occurrences and uncertainty exists concerning the correct date of occurrence or the number of occurrences. An employee may join any number of employers or insurance carriers in the same original notice and petition if the claim is made against them jointly, severally or in the alternative. The remedy for misjoinder must be requested by motion within a reasonable time after the grounds become known, but in no event later than the claimant’s case preparation completion date. All remedies will be applied without prejudice to any claim or defense. In addition to the remedies contained in Iowa Rule of Civil Procedure 1.236, the workers’ compensation commissioner may order that parts of a claim be severed and proceeded with separately or that separate related claims be joined or consolidated for administrative convenience or for any good cause. If a correction is ordered but not made by a date specified in the order, the original notice and petition may be dismissed without further notice. If the correction is made within the specified time, the correction relates back to the date of the initial filing for purposes of the statute of limitations.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876—4.7</w:t>
      </w:r>
      <w:r>
        <w:rPr>
          <w:rFonts w:ascii="Times New Roman" w:hAnsi="Times New Roman"/>
          <w:b/>
          <w:i w:val="false"/>
          <w:color w:val="000000"/>
          <w:sz w:val="22"/>
        </w:rPr>
        <w:t xml:space="preserve">(86,17A) </w:t>
      </w:r>
      <w:r>
        <w:rPr>
          <w:rFonts w:ascii="Times New Roman" w:hAnsi="Times New Roman"/>
          <w:b/>
          <w:i w:val="false"/>
          <w:color w:val="000000"/>
          <w:sz w:val="22"/>
        </w:rPr>
        <w:t xml:space="preserve">Delivery of notice, orders, rulings and decisions. </w:t>
      </w:r>
      <w:r>
        <w:rPr>
          <w:rFonts w:ascii="Times New Roman" w:hAnsi="Times New Roman"/>
          <w:b w:val="false"/>
          <w:i w:val="false"/>
          <w:color w:val="000000"/>
          <w:sz w:val="22"/>
        </w:rPr>
        <w:t xml:space="preserve">Delivery of the original notice shall be made by the petitioning party as provided in Iowa Code section </w:t>
      </w:r>
      <w:hyperlink r:id="rId62">
        <w:r>
          <w:rPr>
            <w:rStyle w:val="Hyperlink"/>
            <w:rFonts w:ascii="Times New Roman" w:hAnsi="Times New Roman"/>
            <w:b w:val="false"/>
            <w:i w:val="false"/>
            <w:color w:val="000000"/>
            <w:sz w:val="22"/>
          </w:rPr>
          <w:t>17A.12(1)</w:t>
        </w:r>
      </w:hyperlink>
      <w:r>
        <w:rPr>
          <w:rFonts w:ascii="Times New Roman" w:hAnsi="Times New Roman"/>
          <w:b w:val="false"/>
          <w:i w:val="false"/>
          <w:color w:val="000000"/>
          <w:sz w:val="22"/>
        </w:rPr>
        <w:t xml:space="preserve"> except that a party may deliver the original notice on a nonresident employer as provided in Iowa Code section </w:t>
      </w:r>
      <w:hyperlink r:id="rId63">
        <w:r>
          <w:rPr>
            <w:rStyle w:val="Hyperlink"/>
            <w:rFonts w:ascii="Times New Roman" w:hAnsi="Times New Roman"/>
            <w:b w:val="false"/>
            <w:i w:val="false"/>
            <w:color w:val="000000"/>
            <w:sz w:val="22"/>
          </w:rPr>
          <w:t>85.3</w:t>
        </w:r>
      </w:hyperlink>
      <w:r>
        <w:rPr>
          <w:rFonts w:ascii="Times New Roman" w:hAnsi="Times New Roman"/>
          <w:b w:val="false"/>
          <w:i w:val="false"/>
          <w:color w:val="000000"/>
          <w:sz w:val="22"/>
        </w:rPr>
        <w:t xml:space="preserve">. A proposed or final decision, order or ruling may be delivered by the division of workers’ compensation to any party by regular mail, by email or by WCES. Filing of a notice, ruling and decision in WCES is the official filing and start of any appeal or motion deadline.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85.3</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8013B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876—4.8</w:t>
      </w:r>
      <w:r>
        <w:rPr>
          <w:rFonts w:ascii="Times New Roman" w:hAnsi="Times New Roman"/>
          <w:b/>
          <w:i w:val="false"/>
          <w:color w:val="000000"/>
          <w:sz w:val="22"/>
        </w:rPr>
        <w:t xml:space="preserve">(86) </w:t>
      </w:r>
      <w:r>
        <w:rPr>
          <w:rFonts w:ascii="Times New Roman" w:hAnsi="Times New Roman"/>
          <w:b/>
          <w:i w:val="false"/>
          <w:color w:val="000000"/>
          <w:sz w:val="22"/>
        </w:rPr>
        <w:t xml:space="preserve">Filing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contested case is commenced by filing the original notice and petition with the workers’ compensation commissioner. No action shall be taken by the workers’ compensation commissioner on any contested case against an adverse party unless the adverse party has answered or unless it can be shown by proper proof that the adverse party has been properly served. The original notice and petition if required by </w:t>
      </w:r>
      <w:hyperlink r:id="rId66">
        <w:r>
          <w:rPr>
            <w:rStyle w:val="Hyperlink"/>
            <w:rFonts w:ascii="Times New Roman" w:hAnsi="Times New Roman"/>
            <w:b w:val="false"/>
            <w:i w:val="false"/>
            <w:color w:val="000000"/>
            <w:sz w:val="22"/>
          </w:rPr>
          <w:t>876—4.6</w:t>
        </w:r>
      </w:hyperlink>
      <w:r>
        <w:rPr>
          <w:rFonts w:ascii="Times New Roman" w:hAnsi="Times New Roman"/>
          <w:b w:val="false"/>
          <w:i w:val="false"/>
          <w:color w:val="000000"/>
          <w:sz w:val="22"/>
        </w:rPr>
        <w:t>(85,86,17A) shall be accompanied by proof that the petitioner has deposited copies of such documents with the U.S. post office for delivery by certified mail, return receipt requested, upon the respondent or has submitted such copies to a proper person for delivery of personal service as in civil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Filing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original notices and petitions for arbitration or review-reopening relating to weekly benefits filed on account of each injury, occupational disease or occupational hearing loss alleged, a filing fee shall be paid at the time of filing. The filing fee for petitions is $125. No filing fee is due for the filing of other actions where the sole relief sought is one of the following or a combination of any of them: medical and other benefits under Iowa Code section </w:t>
      </w:r>
      <w:hyperlink r:id="rId67">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burial benefits under Iowa Code section </w:t>
      </w:r>
      <w:hyperlink r:id="rId68">
        <w:r>
          <w:rPr>
            <w:rStyle w:val="Hyperlink"/>
            <w:rFonts w:ascii="Times New Roman" w:hAnsi="Times New Roman"/>
            <w:b w:val="false"/>
            <w:i w:val="false"/>
            <w:color w:val="000000"/>
            <w:sz w:val="22"/>
          </w:rPr>
          <w:t>85.28</w:t>
        </w:r>
      </w:hyperlink>
      <w:r>
        <w:rPr>
          <w:rFonts w:ascii="Times New Roman" w:hAnsi="Times New Roman"/>
          <w:b w:val="false"/>
          <w:i w:val="false"/>
          <w:color w:val="000000"/>
          <w:sz w:val="22"/>
        </w:rPr>
        <w:t xml:space="preserve">; determination of dependency under Iowa Code sections </w:t>
      </w:r>
      <w:hyperlink r:id="rId69">
        <w:r>
          <w:rPr>
            <w:rStyle w:val="Hyperlink"/>
            <w:rFonts w:ascii="Times New Roman" w:hAnsi="Times New Roman"/>
            <w:b w:val="false"/>
            <w:i w:val="false"/>
            <w:color w:val="000000"/>
            <w:sz w:val="22"/>
          </w:rPr>
          <w:t>85.42</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85.44</w:t>
        </w:r>
      </w:hyperlink>
      <w:r>
        <w:rPr>
          <w:rFonts w:ascii="Times New Roman" w:hAnsi="Times New Roman"/>
          <w:b w:val="false"/>
          <w:i w:val="false"/>
          <w:color w:val="000000"/>
          <w:sz w:val="22"/>
        </w:rPr>
        <w:t xml:space="preserve">; equitable apportionment under Iowa Code section </w:t>
      </w:r>
      <w:hyperlink r:id="rId72">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 xml:space="preserve">; second injury fund under Iowa Code sections </w:t>
      </w:r>
      <w:hyperlink r:id="rId73">
        <w:r>
          <w:rPr>
            <w:rStyle w:val="Hyperlink"/>
            <w:rFonts w:ascii="Times New Roman" w:hAnsi="Times New Roman"/>
            <w:b w:val="false"/>
            <w:i w:val="false"/>
            <w:color w:val="000000"/>
            <w:sz w:val="22"/>
          </w:rPr>
          <w:t>85.63 to 85.69</w:t>
        </w:r>
      </w:hyperlink>
      <w:r>
        <w:rPr>
          <w:rFonts w:ascii="Times New Roman" w:hAnsi="Times New Roman"/>
          <w:b w:val="false"/>
          <w:i w:val="false"/>
          <w:color w:val="000000"/>
          <w:sz w:val="22"/>
        </w:rPr>
        <w:t xml:space="preserve">; vocational rehabilitation benefits under Iowa Code section </w:t>
      </w:r>
      <w:hyperlink r:id="rId74">
        <w:r>
          <w:rPr>
            <w:rStyle w:val="Hyperlink"/>
            <w:rFonts w:ascii="Times New Roman" w:hAnsi="Times New Roman"/>
            <w:b w:val="false"/>
            <w:i w:val="false"/>
            <w:color w:val="000000"/>
            <w:sz w:val="22"/>
          </w:rPr>
          <w:t>85.70(1)</w:t>
        </w:r>
      </w:hyperlink>
      <w:r>
        <w:rPr>
          <w:rFonts w:ascii="Times New Roman" w:hAnsi="Times New Roman"/>
          <w:b w:val="false"/>
          <w:i w:val="false"/>
          <w:color w:val="000000"/>
          <w:sz w:val="22"/>
        </w:rPr>
        <w:t xml:space="preserve">; vocational training and education benefits under Iowa Code section </w:t>
      </w:r>
      <w:hyperlink r:id="rId75">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 xml:space="preserve">; approval of legal, medical and other fees under Iowa Code section </w:t>
      </w:r>
      <w:hyperlink r:id="rId76">
        <w:r>
          <w:rPr>
            <w:rStyle w:val="Hyperlink"/>
            <w:rFonts w:ascii="Times New Roman" w:hAnsi="Times New Roman"/>
            <w:b w:val="false"/>
            <w:i w:val="false"/>
            <w:color w:val="000000"/>
            <w:sz w:val="22"/>
          </w:rPr>
          <w:t>86.39</w:t>
        </w:r>
      </w:hyperlink>
      <w:r>
        <w:rPr>
          <w:rFonts w:ascii="Times New Roman" w:hAnsi="Times New Roman"/>
          <w:b w:val="false"/>
          <w:i w:val="false"/>
          <w:color w:val="000000"/>
          <w:sz w:val="22"/>
        </w:rPr>
        <w:t xml:space="preserve">; commutation under Iowa Code sections </w:t>
      </w:r>
      <w:hyperlink r:id="rId77">
        <w:r>
          <w:rPr>
            <w:rStyle w:val="Hyperlink"/>
            <w:rFonts w:ascii="Times New Roman" w:hAnsi="Times New Roman"/>
            <w:b w:val="false"/>
            <w:i w:val="false"/>
            <w:color w:val="000000"/>
            <w:sz w:val="22"/>
          </w:rPr>
          <w:t>85.45 to 85.48</w:t>
        </w:r>
      </w:hyperlink>
      <w:r>
        <w:rPr>
          <w:rFonts w:ascii="Times New Roman" w:hAnsi="Times New Roman"/>
          <w:b w:val="false"/>
          <w:i w:val="false"/>
          <w:color w:val="000000"/>
          <w:sz w:val="22"/>
        </w:rPr>
        <w:t xml:space="preserve">; employee’s examination under Iowa Code section </w:t>
      </w:r>
      <w:hyperlink r:id="rId78">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employee’s examination or sanctions under Iowa Code section </w:t>
      </w:r>
      <w:hyperlink r:id="rId79">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xml:space="preserve">; application for alternate care under Iowa Code section </w:t>
      </w:r>
      <w:hyperlink r:id="rId80">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determination of liability, reimbursement for benefits paid and recovery of interest under Iowa Code section </w:t>
      </w:r>
      <w:hyperlink r:id="rId81">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 xml:space="preserve">; interest under Iowa Code section </w:t>
      </w:r>
      <w:hyperlink r:id="rId82">
        <w:r>
          <w:rPr>
            <w:rStyle w:val="Hyperlink"/>
            <w:rFonts w:ascii="Times New Roman" w:hAnsi="Times New Roman"/>
            <w:b w:val="false"/>
            <w:i w:val="false"/>
            <w:color w:val="000000"/>
            <w:sz w:val="22"/>
          </w:rPr>
          <w:t>85.30</w:t>
        </w:r>
      </w:hyperlink>
      <w:r>
        <w:rPr>
          <w:rFonts w:ascii="Times New Roman" w:hAnsi="Times New Roman"/>
          <w:b w:val="false"/>
          <w:i w:val="false"/>
          <w:color w:val="000000"/>
          <w:sz w:val="22"/>
        </w:rPr>
        <w:t xml:space="preserve">; penalty under Iowa Code section </w:t>
      </w:r>
      <w:hyperlink r:id="rId83">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application for approval of third-party settlement under Iowa Code section </w:t>
      </w:r>
      <w:hyperlink r:id="rId84">
        <w:r>
          <w:rPr>
            <w:rStyle w:val="Hyperlink"/>
            <w:rFonts w:ascii="Times New Roman" w:hAnsi="Times New Roman"/>
            <w:b w:val="false"/>
            <w:i w:val="false"/>
            <w:color w:val="000000"/>
            <w:sz w:val="22"/>
          </w:rPr>
          <w:t>85.22</w:t>
        </w:r>
      </w:hyperlink>
      <w:r>
        <w:rPr>
          <w:rFonts w:ascii="Times New Roman" w:hAnsi="Times New Roman"/>
          <w:b w:val="false"/>
          <w:i w:val="false"/>
          <w:color w:val="000000"/>
          <w:sz w:val="22"/>
        </w:rPr>
        <w:t xml:space="preserve">; and petitions for declaratory orders or petitions for interventions filed pursuant to </w:t>
      </w:r>
      <w:hyperlink r:id="rId85">
        <w:r>
          <w:rPr>
            <w:rStyle w:val="Hyperlink"/>
            <w:rFonts w:ascii="Times New Roman" w:hAnsi="Times New Roman"/>
            <w:b w:val="false"/>
            <w:i w:val="false"/>
            <w:color w:val="000000"/>
            <w:sz w:val="22"/>
          </w:rPr>
          <w:t>876—Chapter 5</w:t>
        </w:r>
      </w:hyperlink>
      <w:r>
        <w:rPr>
          <w:rFonts w:ascii="Times New Roman" w:hAnsi="Times New Roman"/>
          <w:b w:val="false"/>
          <w:i w:val="false"/>
          <w:color w:val="000000"/>
          <w:sz w:val="22"/>
        </w:rPr>
        <w:t>. An amendment to a petition that alleges an additional or alternate date of occurrence does not require payment of an additional filing fee if a filing fee was paid when the petition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filing fee shall be required for each original notice and petition filed, as required in </w:t>
      </w:r>
      <w:hyperlink r:id="rId86">
        <w:r>
          <w:rPr>
            <w:rStyle w:val="Hyperlink"/>
            <w:rFonts w:ascii="Times New Roman" w:hAnsi="Times New Roman"/>
            <w:b w:val="false"/>
            <w:i w:val="false"/>
            <w:color w:val="000000"/>
            <w:sz w:val="22"/>
          </w:rPr>
          <w:t>paragraph 4.8(2)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a party overpays a filing fee, the party may receive a refund. The party who made the overpayment must request a refund before June 1 of the fiscal year in which the overpayment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filing fee is paid at the time of filing of the original notice and petition, the workers’ compensation commissioner shall return the original notice and petition to the party filing it. Filing an original notice and petition without paying the fee shall not toll the statute of limitations. Tendering an amount less than required will be considered failure to pay a filing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may be taxed as a cost to the losing party in the case. If the filing fee would impose an undue hardship or be unjust in the circumstances for the losing party, the filing fee may be taxed as costs to the winning party in the case. See rule </w:t>
      </w:r>
      <w:hyperlink r:id="rId87">
        <w:r>
          <w:rPr>
            <w:rStyle w:val="Hyperlink"/>
            <w:rFonts w:ascii="Times New Roman" w:hAnsi="Times New Roman"/>
            <w:b w:val="false"/>
            <w:i w:val="false"/>
            <w:color w:val="000000"/>
            <w:sz w:val="22"/>
          </w:rPr>
          <w:t>876—4.33</w:t>
        </w:r>
      </w:hyperlink>
      <w:r>
        <w:rPr>
          <w:rFonts w:ascii="Times New Roman" w:hAnsi="Times New Roman"/>
          <w:b w:val="false"/>
          <w:i w:val="false"/>
          <w:color w:val="000000"/>
          <w:sz w:val="22"/>
        </w:rPr>
        <w:t>(86).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be paid at the same time the petition is filed. The filing fee shall be paid electronically with a credit card, via automated clearing house (ACH), or by other electronic means as allowed by WCES, unless an order granting permission for nonelectronic payment has been issued. If an order granting permission for nonelectronic payment has been issued, the party filing the petition shall issue a check payable to the “Iowa Division of Workers’ Compensation.” If the payment of the filing fee is made by an account with insufficient funds or the payment is stopped, or the payment is otherwise not honored, it will be treated as a failure to pay the correct filing fee. See paragraph </w:t>
      </w:r>
      <w:hyperlink r:id="rId88">
        <w:r>
          <w:rPr>
            <w:rStyle w:val="Hyperlink"/>
            <w:rFonts w:ascii="Times New Roman" w:hAnsi="Times New Roman"/>
            <w:b w:val="false"/>
            <w:i w:val="false"/>
            <w:color w:val="000000"/>
            <w:sz w:val="22"/>
          </w:rPr>
          <w:t>4.8(2)</w:t>
        </w:r>
      </w:hyperlink>
      <w:r>
        <w:rPr>
          <w:rFonts w:ascii="Times New Roman" w:hAnsi="Times New Roman"/>
          <w:b w:val="false"/>
          <w:i/>
          <w:color w:val="000000"/>
          <w:sz w:val="22"/>
        </w:rPr>
        <w:t>“c.”</w:t>
      </w:r>
      <w:r>
        <w:rPr>
          <w:rFonts w:ascii="Times New Roman" w:hAnsi="Times New Roman"/>
          <w:b w:val="false"/>
          <w:i w:val="false"/>
          <w:color w:val="000000"/>
          <w:sz w:val="22"/>
        </w:rPr>
        <w:t xml:space="preserve"> Nonelectronic payment will not be accepted without an order granting permission for nonelectronic payment. The statute of limitations is not tolled if a party has requested nonelectronic payment and is awaiting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may accept for filing an original notice and petition without prepayment of the filing fee if in the discretion of the workers’ compensation commissioner the petitioner is unable to pay the fee at the time of filing. A deferral of payment of the filing fee shall only be granted upon written application by the petitioner. The application shall be filed at the same time the original notice and petition is filed. The application shall be in the form required by the workers’ compensation commissioner and shall include an affidavit signed by the petitioner. When payment of the filing fee is deferred, provisions for payment of the filing fee must be included in any settlement submitted to the workers’ compensation commissioner for approval or taxed as costs. When the application for deferral of payment of the filing fee is denied, the filing fee shall be paid as ordered. See paragraph </w:t>
      </w:r>
      <w:hyperlink r:id="rId89">
        <w:r>
          <w:rPr>
            <w:rStyle w:val="Hyperlink"/>
            <w:rFonts w:ascii="Times New Roman" w:hAnsi="Times New Roman"/>
            <w:b w:val="false"/>
            <w:i w:val="false"/>
            <w:color w:val="000000"/>
            <w:sz w:val="22"/>
          </w:rPr>
          <w:t>4.8(2)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form for the application deferral of prepayment of fees (Form No. 14-0075) shall not be filed using WCES. The document shall be filed in paper form. If the request for deferral of fees is granted, a claim will be established in WCES. Parties to the claim shall use WCES for future filings, unless a party has been granted a waiver of the mandatory use of WCES.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shall use the payment gateway in WCES to pay filing fees, unless an order has been issued allowing deferral of the payment of the filing fee or payment outside of WCES. In addition to the filing fee, the parties shall pay the convenience fee charged by the financial institution that is processing payment for WCES. This cost may be recoverable under rule </w:t>
      </w:r>
      <w:hyperlink r:id="rId90">
        <w:r>
          <w:rPr>
            <w:rStyle w:val="Hyperlink"/>
            <w:rFonts w:ascii="Times New Roman" w:hAnsi="Times New Roman"/>
            <w:b w:val="false"/>
            <w:i w:val="false"/>
            <w:color w:val="000000"/>
            <w:sz w:val="22"/>
          </w:rPr>
          <w:t>876—4.33</w:t>
        </w:r>
      </w:hyperlink>
      <w:r>
        <w:rPr>
          <w:rFonts w:ascii="Times New Roman" w:hAnsi="Times New Roman"/>
          <w:b w:val="false"/>
          <w:i w:val="false"/>
          <w:color w:val="000000"/>
          <w:sz w:val="22"/>
        </w:rPr>
        <w:t>(86).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7818B</w:t>
      </w:r>
      <w:r>
        <w:rPr>
          <w:rFonts w:ascii="Times New Roman" w:hAnsi="Times New Roman"/>
          <w:b w:val="false"/>
          <w:i w:val="false"/>
          <w:color w:val="000000"/>
          <w:sz w:val="16"/>
        </w:rPr>
        <w:t>, IAB 6/3/09,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8013B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and responses, pleadings, motions and settlements. </w:t>
      </w:r>
      <w:r>
        <w:rPr>
          <w:rFonts w:ascii="Times New Roman" w:hAnsi="Times New Roman"/>
          <w:b w:val="false"/>
          <w:i w:val="false"/>
          <w:color w:val="000000"/>
          <w:sz w:val="22"/>
        </w:rPr>
        <w:t xml:space="preserve">Appearances and responses to pleadings and motions shall be made in WCES. Registration with the division of workers’ compensation’s WCES is required. Registration is accepted at </w:t>
      </w:r>
      <w:hyperlink r:id="rId92">
        <w:r>
          <w:rPr>
            <w:rStyle w:val="Hyperlink"/>
            <w:rFonts w:ascii="Times New Roman" w:hAnsi="Times New Roman"/>
            <w:b w:val="false"/>
            <w:i w:val="false"/>
            <w:color w:val="000000"/>
            <w:sz w:val="22"/>
            <w:u w:val="single"/>
          </w:rPr>
          <w:t>www.iowaworkcomp.gov/efile</w:t>
        </w:r>
      </w:hyperlink>
      <w:r>
        <w:rPr>
          <w:rFonts w:ascii="Times New Roman" w:hAnsi="Times New Roman"/>
          <w:b w:val="false"/>
          <w:i w:val="false"/>
          <w:color w:val="000000"/>
          <w:sz w:val="22"/>
        </w:rPr>
        <w:t>. After a matter has been commenced and the respondent has been served with an original notice and filed an answer or appearance, subsequent filings or submissions in WCES do not require proof of service to parties of record who are registered with WCES. If a party has been granted a waiver of the mandatory use of WCES, the party shall include a proof of service for all parties of record. Attorneys will need to use the AT pin or pro hac vice pin assigned by the Iowa Supreme Court to be associated with a case in WCES. When an attorney is not representing a party, the employer or insurance carrier or the employer’s or insurance carrier’s agent or claimant shall register in WCES to file the settlement or medical data pursuant to 876—subrule 3.1(2). The filer will receive a status update for the information the filer submits based upon the status the filer selects when registering in WCES.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Respondent—appearance. </w:t>
      </w:r>
      <w:r>
        <w:rPr>
          <w:rFonts w:ascii="Times New Roman" w:hAnsi="Times New Roman"/>
          <w:b w:val="false"/>
          <w:i w:val="false"/>
          <w:color w:val="000000"/>
          <w:sz w:val="22"/>
        </w:rPr>
        <w:t>A respondent shall appear by filing an answer or a motion within 20 days after the service of the original notice and petition upon the respondent in WCES, or if a party has been granted a waiver of the mandatory use of WCES, the respondent shall file an answer or motion within 20 days after service of the original notice and petition upon the respondent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Motions attacking a pleading must be served before responding to a pleading or, if no responsive pleading is required, upon motion made by a party within 20 days after the service of the pleading on such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Pleading.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Time after motions attacking pleadings and special appearances. </w:t>
      </w:r>
      <w:r>
        <w:rPr>
          <w:rFonts w:ascii="Times New Roman" w:hAnsi="Times New Roman"/>
          <w:b w:val="false"/>
          <w:i w:val="false"/>
          <w:color w:val="000000"/>
          <w:sz w:val="22"/>
        </w:rPr>
        <w:t>If a motion attacking a pleading is so disposed of as to require further pleading, such further pleading shall be served within ten days after notice of the action of the workers’ compensation commissioner or deputy workers’ compensation commissioner. If the further pleading requires a response, the response shall be filed within ten days after service of the further pleading.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color w:val="000000"/>
          <w:sz w:val="22"/>
        </w:rPr>
        <w:t xml:space="preserve">Amendments to pleadings. </w:t>
      </w:r>
      <w:r>
        <w:rPr>
          <w:rFonts w:ascii="Times New Roman" w:hAnsi="Times New Roman"/>
          <w:b w:val="false"/>
          <w:i w:val="false"/>
          <w:color w:val="000000"/>
          <w:sz w:val="22"/>
        </w:rPr>
        <w:t>A party may amend a pleading as a matter of course at any time before the party’s discovery is closed, or if no order is entered closing the party’s discovery, at any time before the case is assigned for hearing. Otherwise, a party may amend a pleading only by leave of the workers’ compensation commissioner or deputy workers’ compensation commissioner or by written consent of the adverse party. Leave to amend, including leave to amend to conform to proof, shall be freely given when justice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w:t>
      </w:r>
      <w:r>
        <w:rPr>
          <w:rFonts w:ascii="Times New Roman" w:hAnsi="Times New Roman"/>
          <w:b w:val="false"/>
          <w:i w:val="false"/>
          <w:color w:val="000000"/>
          <w:sz w:val="22"/>
        </w:rPr>
        <w:t> </w:t>
      </w:r>
      <w:r>
        <w:rPr>
          <w:rFonts w:ascii="Times New Roman" w:hAnsi="Times New Roman"/>
          <w:b w:val="false"/>
          <w:i/>
          <w:color w:val="000000"/>
          <w:sz w:val="22"/>
        </w:rPr>
        <w:t xml:space="preserve">Form, submission and ruling on motions. </w:t>
      </w:r>
      <w:r>
        <w:rPr>
          <w:rFonts w:ascii="Times New Roman" w:hAnsi="Times New Roman"/>
          <w:b w:val="false"/>
          <w:i w:val="false"/>
          <w:color w:val="000000"/>
          <w:sz w:val="22"/>
        </w:rPr>
        <w:t>All motions, including pre-answer motions and motions for summary judgment, shall have appended to them a concise memorandum brief and argument. All motions except motions for summary judgment shall be deemed submitted without hearing on the record presented on the tenth day following filing. Motions for summary judgment shall be deemed submitted as provided in Iowa Rule of Civil Procedure 1.981. Resistances to motions shall have appended to them a concise memorandum brief and argument and shall be filed on or before the date of submission. Briefs and arguments are waived unless appended to the motion or resistance.</w:t>
      </w:r>
    </w:p>
    <w:p>
      <w:pPr>
        <w:spacing w:before="0" w:after="0"/>
        <w:ind w:left="120"/>
        <w:jc w:val="both"/>
      </w:pPr>
      <w:r>
        <w:rPr>
          <w:rFonts w:ascii="Times New Roman" w:hAnsi="Times New Roman"/>
          <w:b w:val="false"/>
          <w:i w:val="false"/>
          <w:color w:val="000000"/>
          <w:sz w:val="22"/>
        </w:rPr>
        <w:t>An order may be entered consolidating any motion for ruling with the hearing of the contested case. Any party desiring a ruling on a motion prior to the hearing may concisely set forth the necessity of prior ruling in the motion, application or resistance. If a pre-answer motion alleging lack of jurisdiction is overruled or consolidated with hearing of the contested case, the party shall plead to the merits and proceed to hearing of the contested case without submitting to the jurisdiction of the workers’ compensation commissioner. If a motion attacking a pleading is consolidated with hearing of the contested case, the party shall respond to the pleading in the same manner as if the motion had been overruled.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All petitions involving the same claimant and employer will automatically be consolidated. Any party may file a motion to consolidate common questions of fact and law surrounding an injury or a series of injuries. The motion to consolidate shall be deemed approved without an order if no resistance to the motion is filed with the workers’ compensation commissioner within ten days of the filing of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counsel. </w:t>
      </w:r>
      <w:r>
        <w:rPr>
          <w:rFonts w:ascii="Times New Roman" w:hAnsi="Times New Roman"/>
          <w:b w:val="false"/>
          <w:i w:val="false"/>
          <w:color w:val="000000"/>
          <w:sz w:val="22"/>
        </w:rPr>
        <w:t>Counsel may withdraw if another counsel has appeared or if the client’s written consent accompanies the withdrawal.</w:t>
      </w:r>
    </w:p>
    <w:p>
      <w:pPr>
        <w:spacing w:before="0" w:after="0"/>
        <w:ind w:left="120"/>
        <w:jc w:val="both"/>
      </w:pPr>
      <w:r>
        <w:rPr>
          <w:rFonts w:ascii="Times New Roman" w:hAnsi="Times New Roman"/>
          <w:b w:val="false"/>
          <w:i w:val="false"/>
          <w:color w:val="000000"/>
          <w:sz w:val="22"/>
        </w:rPr>
        <w:t>Under all other circumstances, counsel may withdraw only upon the order of the workers’ compensation commissioner after making written application. Counsel shall give the client written notice that the client has the right to object to the withdrawal by filing written objections and a request for a hearing to the Division of Workers’ Compensation, 150 Des Moines Street, Des Moines, Iowa 50309, within ten days following the date the notice was mailed or personally delivered to the client. The client’s response does not need to be filed in WCES but may be mailed or delivered to the division. Counsel’s application shall be accompanied by proof that a copy of the application and notice was sent by certified mail addressed to the client’s last-known address or was delivered to the client personally. If no objections are timely filed, the withdrawal will become effective when approved by the workers’ compensation commissioner. If objections are timely filed, a hearing on the application will be held. No withdrawal under this subrule will be effective without the approval of the workers’ compensation commissioner. The filing of an application to withdraw stays all pending matters until a ruling is made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w:t>
      </w:r>
      <w:r>
        <w:rPr>
          <w:rFonts w:ascii="Times New Roman" w:hAnsi="Times New Roman"/>
          <w:b w:val="false"/>
          <w:i w:val="false"/>
          <w:color w:val="000000"/>
          <w:sz w:val="22"/>
        </w:rPr>
        <w:t> </w:t>
      </w:r>
      <w:r>
        <w:rPr>
          <w:rFonts w:ascii="Times New Roman" w:hAnsi="Times New Roman"/>
          <w:b w:val="false"/>
          <w:i/>
          <w:color w:val="000000"/>
          <w:sz w:val="22"/>
        </w:rPr>
        <w:t xml:space="preserve">Requests for default. </w:t>
      </w:r>
      <w:r>
        <w:rPr>
          <w:rFonts w:ascii="Times New Roman" w:hAnsi="Times New Roman"/>
          <w:b w:val="false"/>
          <w:i w:val="false"/>
          <w:color w:val="000000"/>
          <w:sz w:val="22"/>
        </w:rPr>
        <w:t>Requests or motions for default shall be as provided in Iowa Rules of Civil Procedure 1.971 to 1.977 except that entry of default shall be by order of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w:t>
      </w:r>
      <w:r>
        <w:rPr>
          <w:rFonts w:ascii="Times New Roman" w:hAnsi="Times New Roman"/>
          <w:b w:val="false"/>
          <w:i w:val="false"/>
          <w:color w:val="000000"/>
          <w:sz w:val="22"/>
        </w:rPr>
        <w:t> </w:t>
      </w:r>
      <w:r>
        <w:rPr>
          <w:rFonts w:ascii="Times New Roman" w:hAnsi="Times New Roman"/>
          <w:b w:val="false"/>
          <w:i/>
          <w:color w:val="000000"/>
          <w:sz w:val="22"/>
        </w:rPr>
        <w:t xml:space="preserve">Pro hac vice. </w:t>
      </w:r>
      <w:r>
        <w:rPr>
          <w:rFonts w:ascii="Times New Roman" w:hAnsi="Times New Roman"/>
          <w:b w:val="false"/>
          <w:i w:val="false"/>
          <w:color w:val="000000"/>
          <w:sz w:val="22"/>
        </w:rPr>
        <w:t>An out-of-state attorney desiring to appear pro hac vice in an Iowa division of workers’ compensation case is required to access the office of professional regulation (OPR)/supreme court commissions (SCC) website, submit certain personal information to complete pertinent fields in the lawyer database, and pay a fee that will be deposited in the client security trust fund. The registration and fee payment allow the attorney to apply to appear pro hac vice in Iowa division of workers’ compensation cases, subject to the limits and requirements of Iowa Court Rule 31.14, for a period of up to five years from the date of registration. Attorneys who register and pay the fee appear in the OPR/SCC database with the status of “pro hac vice.” The Iowa division of workers’ compensation will request from the Iowa courts that a pro hac vice number be issued and will provide that number to the out-of-state attorney for registration with WCES. The affiliated in-state attorney shall file in WCES the application to appear pro hac vice completed by the out-of-state attorney using a pleading that is substantially similar to Iowa Court Rule 31.25—Form 1.</w:t>
      </w:r>
    </w:p>
    <w:p>
      <w:pPr>
        <w:spacing w:before="0" w:after="0"/>
        <w:ind w:left="120"/>
        <w:jc w:val="both"/>
      </w:pPr>
      <w:r>
        <w:rPr>
          <w:rFonts w:ascii="Times New Roman" w:hAnsi="Times New Roman"/>
          <w:b w:val="false"/>
          <w:i w:val="false"/>
          <w:color w:val="000000"/>
          <w:sz w:val="22"/>
        </w:rPr>
        <w:t xml:space="preserve">This rule is intended to implement the provisions of Iowa Code section </w:t>
      </w:r>
      <w:hyperlink r:id="rId9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876—4.10</w:t>
      </w:r>
      <w:r>
        <w:rPr>
          <w:rFonts w:ascii="Times New Roman" w:hAnsi="Times New Roman"/>
          <w:b/>
          <w:i w:val="false"/>
          <w:color w:val="000000"/>
          <w:sz w:val="22"/>
        </w:rPr>
        <w:t xml:space="preserve">(86,87) </w:t>
      </w:r>
      <w:r>
        <w:rPr>
          <w:rFonts w:ascii="Times New Roman" w:hAnsi="Times New Roman"/>
          <w:b/>
          <w:i w:val="false"/>
          <w:color w:val="000000"/>
          <w:sz w:val="22"/>
        </w:rPr>
        <w:t xml:space="preserve">Insurance carrier as a party. </w:t>
      </w:r>
      <w:r>
        <w:rPr>
          <w:rFonts w:ascii="Times New Roman" w:hAnsi="Times New Roman"/>
          <w:b w:val="false"/>
          <w:i w:val="false"/>
          <w:color w:val="000000"/>
          <w:sz w:val="22"/>
        </w:rPr>
        <w:t>Whenever any insurance carrier shall issue a policy with a clause in substance providing that jurisdiction of the employer is jurisdiction of the insurance carrier, the insurance carrier shall be deemed a party in any action against the insured.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87.10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876—4.11</w:t>
      </w:r>
      <w:r>
        <w:rPr>
          <w:rFonts w:ascii="Times New Roman" w:hAnsi="Times New Roman"/>
          <w:b/>
          <w:i w:val="false"/>
          <w:color w:val="000000"/>
          <w:sz w:val="22"/>
        </w:rPr>
        <w:t xml:space="preserve">(86) </w:t>
      </w:r>
      <w:r>
        <w:rPr>
          <w:rFonts w:ascii="Times New Roman" w:hAnsi="Times New Roman"/>
          <w:b/>
          <w:i w:val="false"/>
          <w:color w:val="000000"/>
          <w:sz w:val="22"/>
        </w:rPr>
        <w:t xml:space="preserve">Signatures on documents and papers. </w:t>
      </w:r>
      <w:r>
        <w:rPr>
          <w:rFonts w:ascii="Times New Roman" w:hAnsi="Times New Roman"/>
          <w:b w:val="false"/>
          <w:i w:val="false"/>
          <w:color w:val="000000"/>
          <w:sz w:val="22"/>
        </w:rPr>
        <w:t>All documents and papers required by these rules, the Iowa Rules of Civil Procedure as applicable, or a statutory provision shall be signed by the party if unrepresented or the party’s attorney if represented. The party’s signature in addition to the attorney’s signature shall be necessary only when otherwise required by these rules, the Iowa Rules of Civil Procedure as applicable, and any statutory provision. Iowa R. Elec.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16.305 concerning signatures is applicable to WCES.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876—4.12</w:t>
      </w:r>
      <w:r>
        <w:rPr>
          <w:rFonts w:ascii="Times New Roman" w:hAnsi="Times New Roman"/>
          <w:b/>
          <w:i w:val="false"/>
          <w:color w:val="000000"/>
          <w:sz w:val="22"/>
        </w:rPr>
        <w:t xml:space="preserve">(86) </w:t>
      </w:r>
      <w:r>
        <w:rPr>
          <w:rFonts w:ascii="Times New Roman" w:hAnsi="Times New Roman"/>
          <w:b/>
          <w:i w:val="false"/>
          <w:color w:val="000000"/>
          <w:sz w:val="22"/>
        </w:rPr>
        <w:t xml:space="preserve">Service on parties. </w:t>
      </w:r>
      <w:r>
        <w:rPr>
          <w:rFonts w:ascii="Times New Roman" w:hAnsi="Times New Roman"/>
          <w:b w:val="false"/>
          <w:i w:val="false"/>
          <w:color w:val="000000"/>
          <w:sz w:val="22"/>
        </w:rPr>
        <w:t xml:space="preserve">Any document or paper not delivered under rules </w:t>
      </w:r>
      <w:hyperlink r:id="rId96">
        <w:r>
          <w:rPr>
            <w:rStyle w:val="Hyperlink"/>
            <w:rFonts w:ascii="Times New Roman" w:hAnsi="Times New Roman"/>
            <w:b w:val="false"/>
            <w:i w:val="false"/>
            <w:color w:val="000000"/>
            <w:sz w:val="22"/>
          </w:rPr>
          <w:t>876—4.6</w:t>
        </w:r>
      </w:hyperlink>
      <w:r>
        <w:rPr>
          <w:rFonts w:ascii="Times New Roman" w:hAnsi="Times New Roman"/>
          <w:b w:val="false"/>
          <w:i w:val="false"/>
          <w:color w:val="000000"/>
          <w:sz w:val="22"/>
        </w:rPr>
        <w:t xml:space="preserve">(85,86,17A) and </w:t>
      </w:r>
      <w:hyperlink r:id="rId97">
        <w:r>
          <w:rPr>
            <w:rStyle w:val="Hyperlink"/>
            <w:rFonts w:ascii="Times New Roman" w:hAnsi="Times New Roman"/>
            <w:b w:val="false"/>
            <w:i w:val="false"/>
            <w:color w:val="000000"/>
            <w:sz w:val="22"/>
          </w:rPr>
          <w:t>876—4.7</w:t>
        </w:r>
      </w:hyperlink>
      <w:r>
        <w:rPr>
          <w:rFonts w:ascii="Times New Roman" w:hAnsi="Times New Roman"/>
          <w:b w:val="false"/>
          <w:i w:val="false"/>
          <w:color w:val="000000"/>
          <w:sz w:val="22"/>
        </w:rPr>
        <w:t xml:space="preserve">(86,17A) which is to be filed and seeks relief from or action against another party, or which has any significant effect on any contested case, shall be served on each party of record under rule </w:t>
      </w:r>
      <w:hyperlink r:id="rId98">
        <w:r>
          <w:rPr>
            <w:rStyle w:val="Hyperlink"/>
            <w:rFonts w:ascii="Times New Roman" w:hAnsi="Times New Roman"/>
            <w:b w:val="false"/>
            <w:i w:val="false"/>
            <w:color w:val="000000"/>
            <w:sz w:val="22"/>
          </w:rPr>
          <w:t>876—4.13</w:t>
        </w:r>
      </w:hyperlink>
      <w:r>
        <w:rPr>
          <w:rFonts w:ascii="Times New Roman" w:hAnsi="Times New Roman"/>
          <w:b w:val="false"/>
          <w:i w:val="false"/>
          <w:color w:val="000000"/>
          <w:sz w:val="22"/>
        </w:rPr>
        <w:t>(86).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876—4.13</w:t>
      </w:r>
      <w:r>
        <w:rPr>
          <w:rFonts w:ascii="Times New Roman" w:hAnsi="Times New Roman"/>
          <w:b/>
          <w:i w:val="false"/>
          <w:color w:val="000000"/>
          <w:sz w:val="22"/>
        </w:rPr>
        <w:t xml:space="preserve">(86) </w:t>
      </w:r>
      <w:r>
        <w:rPr>
          <w:rFonts w:ascii="Times New Roman" w:hAnsi="Times New Roman"/>
          <w:b/>
          <w:i w:val="false"/>
          <w:color w:val="000000"/>
          <w:sz w:val="22"/>
        </w:rPr>
        <w:t xml:space="preserve">Method of service. </w:t>
      </w:r>
      <w:r>
        <w:rPr>
          <w:rFonts w:ascii="Times New Roman" w:hAnsi="Times New Roman"/>
          <w:b w:val="false"/>
          <w:i w:val="false"/>
          <w:color w:val="000000"/>
          <w:sz w:val="22"/>
        </w:rPr>
        <w:t xml:space="preserve">Except as provided in rules </w:t>
      </w:r>
      <w:hyperlink r:id="rId101">
        <w:r>
          <w:rPr>
            <w:rStyle w:val="Hyperlink"/>
            <w:rFonts w:ascii="Times New Roman" w:hAnsi="Times New Roman"/>
            <w:b w:val="false"/>
            <w:i w:val="false"/>
            <w:color w:val="000000"/>
            <w:sz w:val="22"/>
          </w:rPr>
          <w:t>876—4.6</w:t>
        </w:r>
      </w:hyperlink>
      <w:r>
        <w:rPr>
          <w:rFonts w:ascii="Times New Roman" w:hAnsi="Times New Roman"/>
          <w:b w:val="false"/>
          <w:i w:val="false"/>
          <w:color w:val="000000"/>
          <w:sz w:val="22"/>
        </w:rPr>
        <w:t xml:space="preserve">(85,86,17A) and </w:t>
      </w:r>
      <w:hyperlink r:id="rId102">
        <w:r>
          <w:rPr>
            <w:rStyle w:val="Hyperlink"/>
            <w:rFonts w:ascii="Times New Roman" w:hAnsi="Times New Roman"/>
            <w:b w:val="false"/>
            <w:i w:val="false"/>
            <w:color w:val="000000"/>
            <w:sz w:val="22"/>
          </w:rPr>
          <w:t>876—4.7</w:t>
        </w:r>
      </w:hyperlink>
      <w:r>
        <w:rPr>
          <w:rFonts w:ascii="Times New Roman" w:hAnsi="Times New Roman"/>
          <w:b w:val="false"/>
          <w:i w:val="false"/>
          <w:color w:val="000000"/>
          <w:sz w:val="22"/>
        </w:rPr>
        <w:t xml:space="preserve">(86,17A), service of all documents and papers to be served according to this chapter or otherwise upon a party represented by an attorney shall be made upon the attorney unless service upon the party is ordered by the workers’ compensation commissioner or deputy workers’ compensation commissioner. Service upon the attorney or party shall be made using WCES once a party or party’s attorney has registered in WCES for the claim being contested. If a party has been granted a waiver of the mandatory use of WCES or if a party or attorney has not appeared in WCES, service upon the attorney or party shall be made by delivery of a copy or mailing a copy to the last-known address of the attorney or party or, if no address is known, by filing a copy with the division of workers’ compensation. Delivery of a copy within this rule means handing it to the attorney or party; leaving it at the office of the attorney or party’s office or with the person in charge of the office; or if there is no one in charge of the office, leaving it in a conspicuous place in the office; or if the office is closed or the person to be served has no office, leaving it at the person’s dwelling house, or usual place of abode with some person of suitable age and discretion who is residing at the dwelling or abode. Service by mail under this rule is complete upon mailing. Documents that are served on a party for discovery and medical evidence under rules </w:t>
      </w:r>
      <w:hyperlink r:id="rId103">
        <w:r>
          <w:rPr>
            <w:rStyle w:val="Hyperlink"/>
            <w:rFonts w:ascii="Times New Roman" w:hAnsi="Times New Roman"/>
            <w:b w:val="false"/>
            <w:i w:val="false"/>
            <w:color w:val="000000"/>
            <w:sz w:val="22"/>
          </w:rPr>
          <w:t>876—4.14</w:t>
        </w:r>
      </w:hyperlink>
      <w:r>
        <w:rPr>
          <w:rFonts w:ascii="Times New Roman" w:hAnsi="Times New Roman"/>
          <w:b w:val="false"/>
          <w:i w:val="false"/>
          <w:color w:val="000000"/>
          <w:sz w:val="22"/>
        </w:rPr>
        <w:t xml:space="preserve">(86) and </w:t>
      </w:r>
      <w:hyperlink r:id="rId104">
        <w:r>
          <w:rPr>
            <w:rStyle w:val="Hyperlink"/>
            <w:rFonts w:ascii="Times New Roman" w:hAnsi="Times New Roman"/>
            <w:b w:val="false"/>
            <w:i w:val="false"/>
            <w:color w:val="000000"/>
            <w:sz w:val="22"/>
          </w:rPr>
          <w:t>876—4.18</w:t>
        </w:r>
      </w:hyperlink>
      <w:r>
        <w:rPr>
          <w:rFonts w:ascii="Times New Roman" w:hAnsi="Times New Roman"/>
          <w:b w:val="false"/>
          <w:i w:val="false"/>
          <w:color w:val="000000"/>
          <w:sz w:val="22"/>
        </w:rPr>
        <w:t>(17A,85,86) shall not be filed with the division of workers’ compensation. No documents or papers referred to in this rule shall be served by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876—4.14</w:t>
      </w:r>
      <w:r>
        <w:rPr>
          <w:rFonts w:ascii="Times New Roman" w:hAnsi="Times New Roman"/>
          <w:b/>
          <w:i w:val="false"/>
          <w:color w:val="000000"/>
          <w:sz w:val="22"/>
        </w:rPr>
        <w:t xml:space="preserve">(86) </w:t>
      </w:r>
      <w:r>
        <w:rPr>
          <w:rFonts w:ascii="Times New Roman" w:hAnsi="Times New Roman"/>
          <w:b/>
          <w:i w:val="false"/>
          <w:color w:val="000000"/>
          <w:sz w:val="22"/>
        </w:rPr>
        <w:t xml:space="preserve">Filing of documents and papers. </w:t>
      </w:r>
      <w:r>
        <w:rPr>
          <w:rFonts w:ascii="Times New Roman" w:hAnsi="Times New Roman"/>
          <w:b w:val="false"/>
          <w:i w:val="false"/>
          <w:color w:val="000000"/>
          <w:sz w:val="22"/>
        </w:rPr>
        <w:t xml:space="preserve">All documents and papers required to be served on a party under rule </w:t>
      </w:r>
      <w:hyperlink r:id="rId107">
        <w:r>
          <w:rPr>
            <w:rStyle w:val="Hyperlink"/>
            <w:rFonts w:ascii="Times New Roman" w:hAnsi="Times New Roman"/>
            <w:b w:val="false"/>
            <w:i w:val="false"/>
            <w:color w:val="000000"/>
            <w:sz w:val="22"/>
          </w:rPr>
          <w:t>876—4.12</w:t>
        </w:r>
      </w:hyperlink>
      <w:r>
        <w:rPr>
          <w:rFonts w:ascii="Times New Roman" w:hAnsi="Times New Roman"/>
          <w:b w:val="false"/>
          <w:i w:val="false"/>
          <w:color w:val="000000"/>
          <w:sz w:val="22"/>
        </w:rPr>
        <w:t xml:space="preserve">(86) shall be filed with the workers’ compensation commissioner either before service or within a reasonable time thereafter. No deposition, notice of deposition, notice of requests for discovery, notice of responses to requests for discovery, and notice of medical records and reports required to be served by rule </w:t>
      </w:r>
      <w:hyperlink r:id="rId108">
        <w:r>
          <w:rPr>
            <w:rStyle w:val="Hyperlink"/>
            <w:rFonts w:ascii="Times New Roman" w:hAnsi="Times New Roman"/>
            <w:b w:val="false"/>
            <w:i w:val="false"/>
            <w:color w:val="000000"/>
            <w:sz w:val="22"/>
          </w:rPr>
          <w:t>876—4.17</w:t>
        </w:r>
      </w:hyperlink>
      <w:r>
        <w:rPr>
          <w:rFonts w:ascii="Times New Roman" w:hAnsi="Times New Roman"/>
          <w:b w:val="false"/>
          <w:i w:val="false"/>
          <w:color w:val="000000"/>
          <w:sz w:val="22"/>
        </w:rPr>
        <w:t>(86) shall be filed with or accepted for filing in WCES unless ordered by the workers’ compensation commissioner or a deputy workers’ compensation commissioner, or its use becomes otherwise necessary in the action, in which case it shall be attached to the relevant motion or response to the motion requiring its use, or unless offered as evidence at hearing of the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9">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876—4.15</w:t>
      </w:r>
      <w:r>
        <w:rPr>
          <w:rFonts w:ascii="Times New Roman" w:hAnsi="Times New Roman"/>
          <w:b/>
          <w:i w:val="false"/>
          <w:color w:val="000000"/>
          <w:sz w:val="22"/>
        </w:rPr>
        <w:t xml:space="preserve">(86) </w:t>
      </w:r>
      <w:r>
        <w:rPr>
          <w:rFonts w:ascii="Times New Roman" w:hAnsi="Times New Roman"/>
          <w:b/>
          <w:i w:val="false"/>
          <w:color w:val="000000"/>
          <w:sz w:val="22"/>
        </w:rPr>
        <w:t xml:space="preserve">Proof of service. </w:t>
      </w:r>
      <w:r>
        <w:rPr>
          <w:rFonts w:ascii="Times New Roman" w:hAnsi="Times New Roman"/>
          <w:b w:val="false"/>
          <w:i w:val="false"/>
          <w:color w:val="000000"/>
          <w:sz w:val="22"/>
        </w:rPr>
        <w:t xml:space="preserve">Proof of service of all documents and papers to be served on another party under rule </w:t>
      </w:r>
      <w:hyperlink r:id="rId110">
        <w:r>
          <w:rPr>
            <w:rStyle w:val="Hyperlink"/>
            <w:rFonts w:ascii="Times New Roman" w:hAnsi="Times New Roman"/>
            <w:b w:val="false"/>
            <w:i w:val="false"/>
            <w:color w:val="000000"/>
            <w:sz w:val="22"/>
          </w:rPr>
          <w:t>876—4.12</w:t>
        </w:r>
      </w:hyperlink>
      <w:r>
        <w:rPr>
          <w:rFonts w:ascii="Times New Roman" w:hAnsi="Times New Roman"/>
          <w:b w:val="false"/>
          <w:i w:val="false"/>
          <w:color w:val="000000"/>
          <w:sz w:val="22"/>
        </w:rPr>
        <w:t>(86) shall be filed with the division of workers’ compensation promptly and, in any event, before action is to be taken thereon by the workers’ compensation commissioner or a deputy workers’ compensation commissioner or any party unless a responsive pleading has been filed. Proof shall be made by filing the document in WCES when another party is registered in WCES for that claim. If a party or a party’s attorney or representative is not in WCES for the claim being contested, the proof shall show the date and manner of service and may be by written acknowledgment of service, by certification of a member of the bar of this state, by affidavit of the person who served the papers, or by any other proof satisfactory to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1">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876—4.16</w:t>
      </w:r>
      <w:r>
        <w:rPr>
          <w:rFonts w:ascii="Times New Roman" w:hAnsi="Times New Roman"/>
          <w:b/>
          <w:i w:val="false"/>
          <w:color w:val="000000"/>
          <w:sz w:val="22"/>
        </w:rPr>
        <w:t xml:space="preserve">(86) </w:t>
      </w:r>
      <w:r>
        <w:rPr>
          <w:rFonts w:ascii="Times New Roman" w:hAnsi="Times New Roman"/>
          <w:b/>
          <w:i w:val="false"/>
          <w:color w:val="000000"/>
          <w:sz w:val="22"/>
        </w:rPr>
        <w:t xml:space="preserve">Request for copy.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876—4.17</w:t>
      </w:r>
      <w:r>
        <w:rPr>
          <w:rFonts w:ascii="Times New Roman" w:hAnsi="Times New Roman"/>
          <w:b/>
          <w:i w:val="false"/>
          <w:color w:val="000000"/>
          <w:sz w:val="22"/>
        </w:rPr>
        <w:t xml:space="preserve">(17A,85,86) </w:t>
      </w:r>
      <w:r>
        <w:rPr>
          <w:rFonts w:ascii="Times New Roman" w:hAnsi="Times New Roman"/>
          <w:b/>
          <w:i w:val="false"/>
          <w:color w:val="000000"/>
          <w:sz w:val="22"/>
        </w:rPr>
        <w:t xml:space="preserve">Service of records and reports. </w:t>
      </w:r>
      <w:r>
        <w:rPr>
          <w:rFonts w:ascii="Times New Roman" w:hAnsi="Times New Roman"/>
          <w:b w:val="false"/>
          <w:i w:val="false"/>
          <w:color w:val="000000"/>
          <w:sz w:val="22"/>
        </w:rPr>
        <w:t xml:space="preserve">Each party to a contested case shall serve all records received pursuant to a patient’s waiver (Form 14-0043—authorization for release of information regarding claimants seeking workers’ compensation benefits) and medical records and reports concerning the injured worker in the possession of the party upon each opposing party not later than 20 days following filing of an answer or, if not then in possession of a party, within 10 days of receipt. Medical records and reports are records of medical practitioners and institutions concerning the injured worker. Medical practitioners and institutions include physicians, physician assistants, surgeons, osteopathic physicians and surgeons, chiropractors, dentists, nurses, podiatrists, psychiatrists, psychologists, counselors, hospitals, clinics, persons engaged in physical or vocational rehabilitation or evaluation for rehabilitation, all other practitioners of the healing arts or sciences, and all other institutions in which the healing arts or sciences are practiced. Each party shall serve a notice accompanying the records and reports identifying the records and reports served by the name of the practitioner or institution or other source and date of the records and reports and, if served later than 20 days following filing of the answer, stating the date when the records and reports were received by the party serving them. Pursuant to rule </w:t>
      </w:r>
      <w:hyperlink r:id="rId112">
        <w:r>
          <w:rPr>
            <w:rStyle w:val="Hyperlink"/>
            <w:rFonts w:ascii="Times New Roman" w:hAnsi="Times New Roman"/>
            <w:b w:val="false"/>
            <w:i w:val="false"/>
            <w:color w:val="000000"/>
            <w:sz w:val="22"/>
          </w:rPr>
          <w:t>876—4.14</w:t>
        </w:r>
      </w:hyperlink>
      <w:r>
        <w:rPr>
          <w:rFonts w:ascii="Times New Roman" w:hAnsi="Times New Roman"/>
          <w:b w:val="false"/>
          <w:i w:val="false"/>
          <w:color w:val="000000"/>
          <w:sz w:val="22"/>
        </w:rPr>
        <w:t xml:space="preserve">(86), the notice and records and reports shall not be filed with the workers’ compensation commissioner. A party failing to comply with the provisions of this rule shall, if the failure is prejudicial to an opposing party, be subject to the provisions of rule </w:t>
      </w:r>
      <w:hyperlink r:id="rId113">
        <w:r>
          <w:rPr>
            <w:rStyle w:val="Hyperlink"/>
            <w:rFonts w:ascii="Times New Roman" w:hAnsi="Times New Roman"/>
            <w:b w:val="false"/>
            <w:i w:val="false"/>
            <w:color w:val="000000"/>
            <w:sz w:val="22"/>
          </w:rPr>
          <w:t>876—4.36</w:t>
        </w:r>
      </w:hyperlink>
      <w:r>
        <w:rPr>
          <w:rFonts w:ascii="Times New Roman" w:hAnsi="Times New Roman"/>
          <w:b w:val="false"/>
          <w:i w:val="false"/>
          <w:color w:val="000000"/>
          <w:sz w:val="22"/>
        </w:rPr>
        <w:t>(86). This rule does not require a party to serve any record or report that was previously served by another party in a contested case proceeding.</w:t>
      </w:r>
    </w:p>
    <w:p>
      <w:pPr>
        <w:spacing w:before="0" w:after="0"/>
        <w:ind w:left="120"/>
        <w:jc w:val="both"/>
      </w:pPr>
      <w:r>
        <w:rPr>
          <w:rFonts w:ascii="Times New Roman" w:hAnsi="Times New Roman"/>
          <w:b w:val="false"/>
          <w:i w:val="false"/>
          <w:color w:val="000000"/>
          <w:sz w:val="22"/>
        </w:rPr>
        <w:t>Compliance with this rule does not automatically permit a record or report to be received into evidence if the record or report was not served prior to an applicable deadline established by rule or order for completing discovery or service of exhibits.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876—4.18</w:t>
      </w:r>
      <w:r>
        <w:rPr>
          <w:rFonts w:ascii="Times New Roman" w:hAnsi="Times New Roman"/>
          <w:b/>
          <w:i w:val="false"/>
          <w:color w:val="000000"/>
          <w:sz w:val="22"/>
        </w:rPr>
        <w:t xml:space="preserve">(17A,85,86) </w:t>
      </w:r>
      <w:r>
        <w:rPr>
          <w:rFonts w:ascii="Times New Roman" w:hAnsi="Times New Roman"/>
          <w:b/>
          <w:i w:val="false"/>
          <w:color w:val="000000"/>
          <w:sz w:val="22"/>
        </w:rPr>
        <w:t xml:space="preserve">Medical evidence and discovery. </w:t>
      </w:r>
      <w:r>
        <w:rPr>
          <w:rFonts w:ascii="Times New Roman" w:hAnsi="Times New Roman"/>
          <w:b w:val="false"/>
          <w:i w:val="false"/>
          <w:color w:val="000000"/>
          <w:sz w:val="22"/>
        </w:rPr>
        <w:t xml:space="preserve">Discovery in workers’ compensation proceedings is governed by the rules of civil procedure pursuant to </w:t>
      </w:r>
      <w:hyperlink r:id="rId116">
        <w:r>
          <w:rPr>
            <w:rStyle w:val="Hyperlink"/>
            <w:rFonts w:ascii="Times New Roman" w:hAnsi="Times New Roman"/>
            <w:b w:val="false"/>
            <w:i w:val="false"/>
            <w:color w:val="000000"/>
            <w:sz w:val="22"/>
          </w:rPr>
          <w:t>876—4.35</w:t>
        </w:r>
      </w:hyperlink>
      <w:r>
        <w:rPr>
          <w:rFonts w:ascii="Times New Roman" w:hAnsi="Times New Roman"/>
          <w:b w:val="false"/>
          <w:i w:val="false"/>
          <w:color w:val="000000"/>
          <w:sz w:val="22"/>
        </w:rPr>
        <w:t>(86). Any relevant medical record or report served upon a party in compliance with these rules prior to any deadline established by order or rule for service of the records and reports shall be admissible as evidence at hearing of the contested case unless otherwise provided by rule. Any party against which a medical record or report may be used shall have the right, at the party’s own initial expense, to cross-examine by deposition the medical practitioner producing the record or report and the deposition shall be admissible as evidence in the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7">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876—4.19</w:t>
      </w:r>
      <w:r>
        <w:rPr>
          <w:rFonts w:ascii="Times New Roman" w:hAnsi="Times New Roman"/>
          <w:b/>
          <w:i w:val="false"/>
          <w:color w:val="000000"/>
          <w:sz w:val="22"/>
        </w:rPr>
        <w:t xml:space="preserve">(86) </w:t>
      </w:r>
      <w:r>
        <w:rPr>
          <w:rFonts w:ascii="Times New Roman" w:hAnsi="Times New Roman"/>
          <w:b/>
          <w:i w:val="false"/>
          <w:color w:val="000000"/>
          <w:sz w:val="22"/>
        </w:rPr>
        <w:t xml:space="preserve">Prehearing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Prehearing procedure in contested cases shall be administered in accordance with these rules and the orders issued by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The parties have a duty to exercise reasonable diligence to bring the contested case to hearing at the earliest reasonable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time limits govern prehearing procedure, completion of discovery and case management in contested cases, except proceedings under rules </w:t>
      </w:r>
      <w:hyperlink r:id="rId119">
        <w:r>
          <w:rPr>
            <w:rStyle w:val="Hyperlink"/>
            <w:rFonts w:ascii="Times New Roman" w:hAnsi="Times New Roman"/>
            <w:b w:val="false"/>
            <w:i w:val="false"/>
            <w:color w:val="000000"/>
            <w:sz w:val="22"/>
          </w:rPr>
          <w:t>876—4.46</w:t>
        </w:r>
      </w:hyperlink>
      <w:r>
        <w:rPr>
          <w:rFonts w:ascii="Times New Roman" w:hAnsi="Times New Roman"/>
          <w:b w:val="false"/>
          <w:i w:val="false"/>
          <w:color w:val="000000"/>
          <w:sz w:val="22"/>
        </w:rPr>
        <w:t xml:space="preserve">(17A,85,86) and </w:t>
      </w:r>
      <w:hyperlink r:id="rId120">
        <w:r>
          <w:rPr>
            <w:rStyle w:val="Hyperlink"/>
            <w:rFonts w:ascii="Times New Roman" w:hAnsi="Times New Roman"/>
            <w:b w:val="false"/>
            <w:i w:val="false"/>
            <w:color w:val="000000"/>
            <w:sz w:val="22"/>
          </w:rPr>
          <w:t>876—4.48</w:t>
        </w:r>
      </w:hyperlink>
      <w:r>
        <w:rPr>
          <w:rFonts w:ascii="Times New Roman" w:hAnsi="Times New Roman"/>
          <w:b w:val="false"/>
          <w:i w:val="false"/>
          <w:color w:val="000000"/>
          <w:sz w:val="22"/>
        </w:rPr>
        <w:t>(17A,85,86) and except when otherwise ordered by the workers’ compensation commissioner or a deputy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120 days following filing of a petition, the counsel of record for all parties and all self-represented parties shall request a hearing by using WCES. In a case for which a request for waiver of the mandatory use of WCES has been granted, counsel of record for all parties and all self-represented parties shall jointly contact the hearing administrator by telephone at (515)725-3891 between the hours of 8:30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central time, Monday through Friday, excluding holidays, or by email at </w:t>
      </w:r>
      <w:hyperlink r:id="rId121">
        <w:r>
          <w:rPr>
            <w:rStyle w:val="Hyperlink"/>
            <w:rFonts w:ascii="Times New Roman" w:hAnsi="Times New Roman"/>
            <w:b w:val="false"/>
            <w:i w:val="false"/>
            <w:color w:val="000000"/>
            <w:sz w:val="22"/>
            <w:u w:val="single"/>
          </w:rPr>
          <w:t/>
        </w:r>
        <w:r>
          <w:rPr>
            <w:rFonts w:ascii="Times New Roman" w:hAnsi="Times New Roman"/>
            <w:b w:val="false"/>
            <w:i w:val="false"/>
            <w:color w:val="000000"/>
            <w:sz w:val="22"/>
            <w:u w:val="single"/>
          </w:rPr>
          <w:t>dwc.hearing@iwd.state.ia.us</w:t>
        </w:r>
      </w:hyperlink>
      <w:r>
        <w:rPr>
          <w:rFonts w:ascii="Times New Roman" w:hAnsi="Times New Roman"/>
          <w:b w:val="false"/>
          <w:i w:val="false"/>
          <w:color w:val="000000"/>
          <w:sz w:val="22"/>
        </w:rPr>
        <w:t xml:space="preserve"> to schedule a hearing date, place and time. Claimant has primary responsibility for initiating the contact. The parties shall identify the case by file number and the names of the parties and request that the hearing be set at a specific date, place and time that is shown to be available on the hearing scheduler published on the division’s website. Primary and backup times must be requested for hearings in venues other than Des Moines. When the contact is made by email, a copy of the request shall be sent to each opposing party, and the hearing administrator will reply indicating whether or not the case is assigned at the time requested. If a request is denied, the parties shall continue to contact the hearing administrator by telephone or email until the case is scheduled or a prehearing conference is ordered. A joint scheduling contact may be initiated by any party at any other time agreeable to the parties. If more than 120 days have elapsed since the petition was filed, any party may move to schedule the hearing at a particular date, time and place that is available and the hearing administrator may assign the case for hearing at any date, time and place. The hearing date shall be within 12 months following the date the petition was filed or as soon thereafter as reasonably practicable as determined by the hearing administrator. If the parties fail to schedule the hearing with the hearing administrator within nine months of the filing of the original notice and petition, the case will be scheduled at the discretion of the hearing administrator without prior notice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who intends to introduce evidence from an expert witness, including a rebuttal expert witness, shall certify to all other parties the expert’s name, subject matter of expertise, qualifications, and a summary of the expert’s opinions within the following time period: (1) claimant—120 days before hearing; (2) employer/second injury fund of Iowa—90 days before hearing; (3) rebuttal—60 days before hearing. Certification is not required to introduce evidence from an examining physician pursuant to Iowa Code section </w:t>
      </w:r>
      <w:hyperlink r:id="rId122">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 a treating physician, or a vocational consultant if the expert witness is known by all parties to have personally provided services to the claimant and the witness’s reports are served on opposing parties prior to the date when certification is required. The parties may alter these times by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Discovery responses must be supplemented as required in Iowa Rules of Civil Procedure </w:t>
      </w:r>
      <w:hyperlink r:id="rId123">
        <w:r>
          <w:rPr>
            <w:rStyle w:val="Hyperlink"/>
            <w:rFonts w:ascii="Times New Roman" w:hAnsi="Times New Roman"/>
            <w:b w:val="false"/>
            <w:i w:val="false"/>
            <w:color w:val="000000"/>
            <w:sz w:val="22"/>
          </w:rPr>
          <w:t>1.503(4)</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1.508(3)</w:t>
        </w:r>
      </w:hyperlink>
      <w:r>
        <w:rPr>
          <w:rFonts w:ascii="Times New Roman" w:hAnsi="Times New Roman"/>
          <w:b w:val="false"/>
          <w:i w:val="false"/>
          <w:color w:val="000000"/>
          <w:sz w:val="22"/>
        </w:rPr>
        <w:t>. Discovery responses shall be supplemented within 20 days after a party requests supplementation. All discovery responses, depositions, and reports from independent medical examinations shall be completed and served on opposing counsel and self-represented parties at least 30 days before hearing. The parties may alter these times by written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30 days before hearing, counsel of record and self-represented parties shall serve a witness and an exhibit list on all opposing counsel and self-represented parties and exchange all intended exhibits that were not previously required to be served. The witness list shall name all persons, except the claimant, who will be called to testify at the hearing or who will be deposed prior to the hearing in lieu of testifying at the hearing. The witness and exhibit lists are not filed in WCES. If the exhibit list does not contain actual exhibits, the exhibit list must specifically identify each exhibit in a way that permits the opposing party to recognize the exhibit. The description for a document should include the document’s date, number of pages and author or source. Blanket references such as “all medical records,” “personnel file” or “records produced during discovery” do not specifically identify an exhibit. A party may serve a copy of the actual intended exhibits in lieu of an exhibit list. At least 14 days before hearing, counsel of record and self-represented parties shall file all proposed exhibits in WCES, or if a party has been granted a waiver of the mandatory use of WCES, the party shall file the proposed exhibits with the division of workers’ compensation. At least seven days before the hearing, counsel of record and self-represented parties shall file all written objections and motions to exclude evidence with the division of workers’ compensation and serve a copy on all other parties. Objections to exhibits are waived if they are not filed at least seven days before the hearing. Evidentiary depositions pursuant to Iowa Code section </w:t>
      </w:r>
      <w:hyperlink r:id="rId125">
        <w:r>
          <w:rPr>
            <w:rStyle w:val="Hyperlink"/>
            <w:rFonts w:ascii="Times New Roman" w:hAnsi="Times New Roman"/>
            <w:b w:val="false"/>
            <w:i w:val="false"/>
            <w:color w:val="000000"/>
            <w:sz w:val="22"/>
          </w:rPr>
          <w:t>86.18(2)</w:t>
        </w:r>
      </w:hyperlink>
      <w:r>
        <w:rPr>
          <w:rFonts w:ascii="Times New Roman" w:hAnsi="Times New Roman"/>
          <w:b w:val="false"/>
          <w:i w:val="false"/>
          <w:color w:val="000000"/>
          <w:sz w:val="22"/>
        </w:rPr>
        <w:t xml:space="preserve"> may be taken at any time before the hearing in lieu of the witness testifying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evidence is offered at hearing that was not disclosed in the time and manner required by these rules, or as altered by order of the workers’ compensation commissioner or a deputy workers’ compensation commissioner or by a written agreement by the parties, the evidence will be excluded if the objecting party shows that receipt of the evidence would be unfairly prejudicial. Sanctions may be imposed pursuant to rule </w:t>
      </w:r>
      <w:hyperlink r:id="rId126">
        <w:r>
          <w:rPr>
            <w:rStyle w:val="Hyperlink"/>
            <w:rFonts w:ascii="Times New Roman" w:hAnsi="Times New Roman"/>
            <w:b w:val="false"/>
            <w:i w:val="false"/>
            <w:color w:val="000000"/>
            <w:sz w:val="22"/>
          </w:rPr>
          <w:t>876—4.36</w:t>
        </w:r>
      </w:hyperlink>
      <w:r>
        <w:rPr>
          <w:rFonts w:ascii="Times New Roman" w:hAnsi="Times New Roman"/>
          <w:b w:val="false"/>
          <w:i w:val="false"/>
          <w:color w:val="000000"/>
          <w:sz w:val="22"/>
        </w:rPr>
        <w:t>(86) in addition to or in lieu of exclusion if exclusion is not an effective remedy for the prejudice. If a party offers an exhibit or document in paper form which is accepted by the workers’ compensation commissioner or a deputy workers’ compensation commissioner, the party shall have five working days to submit an electronic copy of the document by using WCES.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14 days before the hearing, counsel of record and self-represented parties shall prepare and file a joint hearing report that defines the claims, defenses, and issues that are to be submitted to the deputy workers’ compensation commissioner who presides at the hearing. The hearing report shall be filed in portable document format (pdf) or as an image-on-text document (searchable pdf) as a proposed hearing report. The hearing report shall be signed by all counsel of record and self-represented parties. The approved hearing report order shall be signed by the deputy workers’ compensation commissioner and filed in WCES.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party is unable to meet a nonjurisdictional filing deadline because of a technical failure in WCES, the party must file the document using the earliest available electronic or nonelectronic means. The filing will be accepted by the division of workers’ compensation as timely unless the workers’ compensation commissioner or a deputy workers’ compensation commissioner determines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Jurisdictional deadlines, including but not limited to any applicable statute of limitations, cannot be extended. It is each party’s responsibility to ensure that a document is filed timely to comply with jurisdictional deadlines. A technical failure, including a failure of WCES, will not excuse a failure to comply with a jurisdictional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party is not excused from missing a jurisdictional or nonjurisdictional filing deadline because of problems attributable to the party.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7">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876—4.20</w:t>
      </w:r>
      <w:r>
        <w:rPr>
          <w:rFonts w:ascii="Times New Roman" w:hAnsi="Times New Roman"/>
          <w:b/>
          <w:i w:val="false"/>
          <w:color w:val="000000"/>
          <w:sz w:val="22"/>
        </w:rPr>
        <w:t xml:space="preserve">(86)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A deputy workers’ compensation commissioner or the workers’ compensation commissioner may order parties in the case to either appear before the workers’ compensation commissioner or a deputy workers’ compensation commissioner for a conference, or communicate with the commissioner or a deputy commissioner and with each other in any manner as may be prescribed to consider, so far as applicable to the particular case: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necessity or desirability of amending pleadings by formal amendment or prehearing 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Agreeing to admissions of facts, documents or records not really controverted, to avoid unnecessary proof;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Settling any facts of which the workers’ compensation commissioner or a deputy workers’ compensation commissioner is to be asked to take official notice;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Stating and simplifying the factual and legal issues to be determined;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Specifying the items and amounts of compensation claimed;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Specifying all proposed exhibits and proof thereof;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Consolidation of cases and bifurcation of issues;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Specifying all witnesses expected to testify;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Possibility of settlement;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Filing of advance briefs, if any;</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Setting or altering dates for completion of discovery or completion of medical evidence by each party;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Any other matter which may facilitate, expedite, or simplify any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8">
        <w:r>
          <w:rPr>
            <w:rStyle w:val="Hyperlink"/>
            <w:rFonts w:ascii="Times New Roman" w:hAnsi="Times New Roman"/>
            <w:b w:val="false"/>
            <w:i w:val="false"/>
            <w:color w:val="000000"/>
            <w:sz w:val="22"/>
          </w:rPr>
          <w:t>86.17</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876—4.21</w:t>
      </w:r>
      <w:r>
        <w:rPr>
          <w:rFonts w:ascii="Times New Roman" w:hAnsi="Times New Roman"/>
          <w:b/>
          <w:i w:val="false"/>
          <w:color w:val="000000"/>
          <w:sz w:val="22"/>
        </w:rPr>
        <w:t xml:space="preserve">(86) </w:t>
      </w:r>
      <w:r>
        <w:rPr>
          <w:rFonts w:ascii="Times New Roman" w:hAnsi="Times New Roman"/>
          <w:b/>
          <w:i w:val="false"/>
          <w:color w:val="000000"/>
          <w:sz w:val="22"/>
        </w:rPr>
        <w:t xml:space="preserve">Prehearing conference record. </w:t>
      </w:r>
      <w:r>
        <w:rPr>
          <w:rFonts w:ascii="Times New Roman" w:hAnsi="Times New Roman"/>
          <w:b w:val="false"/>
          <w:i w:val="false"/>
          <w:color w:val="000000"/>
          <w:sz w:val="22"/>
        </w:rPr>
        <w:t>At the request of any attorney in the case, or at the discretion of a deputy workers’ compensation commissioner or the workers’ compensation commissioner, the entire prehearing conference or any designated part thereof shall be recorded and the cost of the reporter shall be assessed to the requesting party or, if directed by the workers’ compensation commissioner or deputy workers’ compensation commissioner, assessed as costs.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0">
        <w:r>
          <w:rPr>
            <w:rStyle w:val="Hyperlink"/>
            <w:rFonts w:ascii="Times New Roman" w:hAnsi="Times New Roman"/>
            <w:b w:val="false"/>
            <w:i w:val="false"/>
            <w:color w:val="000000"/>
            <w:sz w:val="22"/>
          </w:rPr>
          <w:t>86.17</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876—4.22</w:t>
      </w:r>
      <w:r>
        <w:rPr>
          <w:rFonts w:ascii="Times New Roman" w:hAnsi="Times New Roman"/>
          <w:b/>
          <w:i w:val="false"/>
          <w:color w:val="000000"/>
          <w:sz w:val="22"/>
        </w:rPr>
        <w:t xml:space="preserve">(86) </w:t>
      </w:r>
      <w:r>
        <w:rPr>
          <w:rFonts w:ascii="Times New Roman" w:hAnsi="Times New Roman"/>
          <w:b/>
          <w:i w:val="false"/>
          <w:color w:val="000000"/>
          <w:sz w:val="22"/>
        </w:rPr>
        <w:t xml:space="preserve">Orders. </w:t>
      </w:r>
      <w:r>
        <w:rPr>
          <w:rFonts w:ascii="Times New Roman" w:hAnsi="Times New Roman"/>
          <w:b w:val="false"/>
          <w:i w:val="false"/>
          <w:color w:val="000000"/>
          <w:sz w:val="22"/>
        </w:rPr>
        <w:t>A deputy workers’ compensation commissioner or the workers’ compensation commissioner may enter an order reciting any action taken at a prehearing conference or pursuant to any other procedures prescribed which will control the subsequent course of action relative to matters which it includes, unless modified to prevent manifest injustice.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2">
        <w:r>
          <w:rPr>
            <w:rStyle w:val="Hyperlink"/>
            <w:rFonts w:ascii="Times New Roman" w:hAnsi="Times New Roman"/>
            <w:b w:val="false"/>
            <w:i w:val="false"/>
            <w:color w:val="000000"/>
            <w:sz w:val="22"/>
          </w:rPr>
          <w:t>86.17</w:t>
        </w:r>
      </w:hyperlink>
      <w:r>
        <w:rPr>
          <w:rFonts w:ascii="Times New Roman" w:hAnsi="Times New Roman"/>
          <w:b w:val="false"/>
          <w:i w:val="false"/>
          <w:color w:val="000000"/>
          <w:sz w:val="22"/>
        </w:rPr>
        <w:t xml:space="preserve"> and </w:t>
      </w:r>
      <w:hyperlink r:id="rId133">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876—4.23</w:t>
      </w:r>
      <w:r>
        <w:rPr>
          <w:rFonts w:ascii="Times New Roman" w:hAnsi="Times New Roman"/>
          <w:b/>
          <w:i w:val="false"/>
          <w:color w:val="000000"/>
          <w:sz w:val="22"/>
        </w:rPr>
        <w:t xml:space="preserve">(86) </w:t>
      </w:r>
      <w:r>
        <w:rPr>
          <w:rFonts w:ascii="Times New Roman" w:hAnsi="Times New Roman"/>
          <w:b/>
          <w:i w:val="false"/>
          <w:color w:val="000000"/>
          <w:sz w:val="22"/>
        </w:rPr>
        <w:t xml:space="preserve">Assignment for hearing. </w:t>
      </w:r>
      <w:r>
        <w:rPr>
          <w:rFonts w:ascii="Times New Roman" w:hAnsi="Times New Roman"/>
          <w:b w:val="false"/>
          <w:i w:val="false"/>
          <w:color w:val="000000"/>
          <w:sz w:val="22"/>
        </w:rPr>
        <w:t>Contested cases shall be set for hearing within the discretion of the workers’ compensation commissioner as soon as practicable after the parties have had adequate opportunity to prepare for hearing. A party may request in writing that no hearing in a contested case be held until such time as specified matters have been accomplished or specified events have occurred. Continuances of hearings in contested cases shall be granted only by the workers’ compensation commissioner or a deputy workers’ compensation commissioner. Continuances are governed by Iowa Rules of Civil Procedure 1.910-1.912. Requests for continuance shall also state in detail the reasons for the request and whether the opposing party accedes to the request.</w:t>
      </w:r>
    </w:p>
    <w:p>
      <w:pPr>
        <w:spacing w:before="0" w:after="0"/>
        <w:ind w:left="120"/>
        <w:jc w:val="both"/>
      </w:pPr>
      <w:r>
        <w:rPr>
          <w:rFonts w:ascii="Times New Roman" w:hAnsi="Times New Roman"/>
          <w:b w:val="false"/>
          <w:i w:val="false"/>
          <w:color w:val="000000"/>
          <w:sz w:val="22"/>
        </w:rPr>
        <w:t>The parties shall promptly notify the workers’ compensation commissioner of settlements.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876—4.24</w:t>
      </w:r>
      <w:r>
        <w:rPr>
          <w:rFonts w:ascii="Times New Roman" w:hAnsi="Times New Roman"/>
          <w:b/>
          <w:i w:val="false"/>
          <w:color w:val="000000"/>
          <w:sz w:val="22"/>
        </w:rPr>
        <w:t xml:space="preserve">(17A,86) </w:t>
      </w:r>
      <w:r>
        <w:rPr>
          <w:rFonts w:ascii="Times New Roman" w:hAnsi="Times New Roman"/>
          <w:b/>
          <w:i w:val="false"/>
          <w:color w:val="000000"/>
          <w:sz w:val="22"/>
        </w:rPr>
        <w:t xml:space="preserve">Rehearing. </w:t>
      </w:r>
      <w:r>
        <w:rPr>
          <w:rFonts w:ascii="Times New Roman" w:hAnsi="Times New Roman"/>
          <w:b w:val="false"/>
          <w:i w:val="false"/>
          <w:color w:val="000000"/>
          <w:sz w:val="22"/>
        </w:rPr>
        <w:t>Any party may file an application for rehearing of a proposed decision in any contested case by a deputy workers’ compensation commissioner or a decision in any contested case by the workers’ compensation commissioner within 20 days after the issuance of the decision in WCES. If a party has been granted a waiver of the mandatory use of WCES, the party shall file the application for rehearing with the division of workers’ compensation and serve a copy on the other parties. An application for rehearing shall be deemed denied unless the deputy workers’ compensation commissioner or workers’ compensation commissioner rendering the decision grants the application within 20 days after its filing. For purposes of this rule, motions or requests for reconsideration or new trial or retrial or any reexamination of any decision, ruling, or order shall be treated the same as an application for rehearing.</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876—4.25</w:t>
      </w:r>
      <w:r>
        <w:rPr>
          <w:rFonts w:ascii="Times New Roman" w:hAnsi="Times New Roman"/>
          <w:b/>
          <w:i w:val="false"/>
          <w:color w:val="000000"/>
          <w:sz w:val="22"/>
        </w:rPr>
        <w:t xml:space="preserve">(17A,86) </w:t>
      </w:r>
      <w:r>
        <w:rPr>
          <w:rFonts w:ascii="Times New Roman" w:hAnsi="Times New Roman"/>
          <w:b/>
          <w:i w:val="false"/>
          <w:color w:val="000000"/>
          <w:sz w:val="22"/>
        </w:rPr>
        <w:t xml:space="preserve">Appeal when rehearing requested. </w:t>
      </w:r>
      <w:r>
        <w:rPr>
          <w:rFonts w:ascii="Times New Roman" w:hAnsi="Times New Roman"/>
          <w:b w:val="false"/>
          <w:i w:val="false"/>
          <w:color w:val="000000"/>
          <w:sz w:val="22"/>
        </w:rPr>
        <w:t xml:space="preserve">An appeal to or review on motion of the workers’ compensation commissioner must be filed within 20 days after the application for rehearing of a proposed decision by a deputy workers’ compensation commissioner under rule </w:t>
      </w:r>
      <w:hyperlink r:id="rId141">
        <w:r>
          <w:rPr>
            <w:rStyle w:val="Hyperlink"/>
            <w:rFonts w:ascii="Times New Roman" w:hAnsi="Times New Roman"/>
            <w:b w:val="false"/>
            <w:i w:val="false"/>
            <w:color w:val="000000"/>
            <w:sz w:val="22"/>
          </w:rPr>
          <w:t>876—4.24</w:t>
        </w:r>
      </w:hyperlink>
      <w:r>
        <w:rPr>
          <w:rFonts w:ascii="Times New Roman" w:hAnsi="Times New Roman"/>
          <w:b w:val="false"/>
          <w:i w:val="false"/>
          <w:color w:val="000000"/>
          <w:sz w:val="22"/>
        </w:rPr>
        <w:t>(17A,86) has been denied or deemed denied or a decision on rehearing has been issued. If a notice of appeal is filed by one party and an application for rehearing is filed by a different party, the deputy workers’ compensation commissioner retains jurisdiction to act on the application for rehearing, and the notice of appeal is stayed and deemed to have been filed on the day after the application for rehearing is denied or deemed denied or the decision on rehearing is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2">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876—4.26</w:t>
      </w:r>
      <w:r>
        <w:rPr>
          <w:rFonts w:ascii="Times New Roman" w:hAnsi="Times New Roman"/>
          <w:b w:val="false"/>
          <w:i w:val="false"/>
          <w:color w:val="000000"/>
          <w:sz w:val="22"/>
        </w:rPr>
        <w:t>Rescinded, effective July 1, 1977.</w:t>
      </w:r>
    </w:p>
    <w:p>
      <w:pPr>
        <w:spacing w:before="0" w:after="0"/>
        <w:ind w:left="120"/>
        <w:jc w:val="both"/>
      </w:pPr>
      <w:r>
        <w:rPr>
          <w:rFonts w:ascii="Times New Roman" w:hAnsi="Times New Roman"/>
          <w:b/>
          <w:i w:val="false"/>
          <w:color w:val="000000"/>
          <w:sz w:val="22"/>
        </w:rPr>
        <w:t>876—4.27</w:t>
      </w:r>
      <w:r>
        <w:rPr>
          <w:rFonts w:ascii="Times New Roman" w:hAnsi="Times New Roman"/>
          <w:b/>
          <w:i w:val="false"/>
          <w:color w:val="000000"/>
          <w:sz w:val="22"/>
        </w:rPr>
        <w:t xml:space="preserve">(17A,86)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Except as provided in rules </w:t>
      </w:r>
      <w:hyperlink r:id="rId145">
        <w:r>
          <w:rPr>
            <w:rStyle w:val="Hyperlink"/>
            <w:rFonts w:ascii="Times New Roman" w:hAnsi="Times New Roman"/>
            <w:b w:val="false"/>
            <w:i w:val="false"/>
            <w:color w:val="000000"/>
            <w:sz w:val="22"/>
          </w:rPr>
          <w:t>876—4.2(86)</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876—4.25(17A,86)</w:t>
        </w:r>
      </w:hyperlink>
      <w:r>
        <w:rPr>
          <w:rFonts w:ascii="Times New Roman" w:hAnsi="Times New Roman"/>
          <w:b w:val="false"/>
          <w:i w:val="false"/>
          <w:color w:val="000000"/>
          <w:sz w:val="22"/>
        </w:rPr>
        <w:t xml:space="preserve">, an appeal to the workers’ compensation commissioner from a decision, order or ruling of a deputy workers’ compensation commissioner in contested case proceedings shall be commenced within 20 days of the filing of the decision, order or ruling by filing a notice of appeal in WCES. If a party has been granted a waiver of the mandatory use of WCES, the party shall file the notice of appeal with the division of workers’ compensation and serve a copy on the other parties. If two or more contested cases were consolidated for hearing, the notice of appeal shall specify the case number of each case the party wishes to include in the appeal. The date the notice of appeal is filed shall be the date the notice of appeal is received by the agency. </w:t>
      </w:r>
      <w:r>
        <w:rPr>
          <w:rFonts w:ascii="Times New Roman" w:hAnsi="Times New Roman"/>
          <w:b w:val="false"/>
          <w:i/>
          <w:color w:val="000000"/>
          <w:sz w:val="22"/>
        </w:rPr>
        <w:t>Miller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Civil Constructors,</w:t>
      </w:r>
      <w:r>
        <w:rPr>
          <w:rFonts w:ascii="Times New Roman" w:hAnsi="Times New Roman"/>
          <w:b w:val="false"/>
          <w:i w:val="false"/>
          <w:color w:val="000000"/>
          <w:sz w:val="22"/>
        </w:rPr>
        <w:t xml:space="preserve"> 373 N.W.2d 115 (Iowa 1985). The notice shall be served on the opposing parties as provided in rule </w:t>
      </w:r>
      <w:hyperlink r:id="rId147">
        <w:r>
          <w:rPr>
            <w:rStyle w:val="Hyperlink"/>
            <w:rFonts w:ascii="Times New Roman" w:hAnsi="Times New Roman"/>
            <w:b w:val="false"/>
            <w:i w:val="false"/>
            <w:color w:val="000000"/>
            <w:sz w:val="22"/>
          </w:rPr>
          <w:t>876—4.13</w:t>
        </w:r>
      </w:hyperlink>
      <w:r>
        <w:rPr>
          <w:rFonts w:ascii="Times New Roman" w:hAnsi="Times New Roman"/>
          <w:b w:val="false"/>
          <w:i w:val="false"/>
          <w:color w:val="000000"/>
          <w:sz w:val="22"/>
        </w:rPr>
        <w:t>(86). An appeal shall be heard in Polk County or in any location designated by the workers’ compensation commissioner.</w:t>
      </w:r>
    </w:p>
    <w:p>
      <w:pPr>
        <w:spacing w:before="0" w:after="0"/>
        <w:ind w:left="120"/>
        <w:jc w:val="both"/>
      </w:pPr>
      <w:r>
        <w:rPr>
          <w:rFonts w:ascii="Times New Roman" w:hAnsi="Times New Roman"/>
          <w:b w:val="false"/>
          <w:i w:val="false"/>
          <w:color w:val="000000"/>
          <w:sz w:val="22"/>
        </w:rPr>
        <w:t xml:space="preserve">An interlocutory decision, order or ruling can be appealed only as hereinafter provided. A decision, order or ruling is interlocutory if, when issued, it does not dispose of all issues in the contested case that are ripe for adjudication. If the sole issue remaining for determination is claimant’s entitlement to additional compensation for unreasonable denial or delay of payment pursuant to Iowa Code section </w:t>
      </w:r>
      <w:hyperlink r:id="rId148">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the decision is not interlocutory. An adjudication that awards ongoing payments of weekly compensation under Iowa Code section </w:t>
      </w:r>
      <w:hyperlink r:id="rId149">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 xml:space="preserve"> or </w:t>
      </w:r>
      <w:hyperlink r:id="rId150">
        <w:r>
          <w:rPr>
            <w:rStyle w:val="Hyperlink"/>
            <w:rFonts w:ascii="Times New Roman" w:hAnsi="Times New Roman"/>
            <w:b w:val="false"/>
            <w:i w:val="false"/>
            <w:color w:val="000000"/>
            <w:sz w:val="22"/>
          </w:rPr>
          <w:t>85.34(1)</w:t>
        </w:r>
      </w:hyperlink>
      <w:r>
        <w:rPr>
          <w:rFonts w:ascii="Times New Roman" w:hAnsi="Times New Roman"/>
          <w:b w:val="false"/>
          <w:i w:val="false"/>
          <w:color w:val="000000"/>
          <w:sz w:val="22"/>
        </w:rPr>
        <w:t xml:space="preserve"> is not interlocutory. The workers’ compensation commissioner may, upon application from any party or on the workers’ compensation commissioner’s own motion, and upon such terms as the workers’ compensation commissioner orders, grant an appeal from an interlocutory decision, order or ruling if the workers’ compensation commissioner finds that the ruling affects substantial rights, that the ruling will materially affect the final decision and that determination of the correctness of the ruling will better serve the interests of justice.</w:t>
      </w:r>
    </w:p>
    <w:p>
      <w:pPr>
        <w:spacing w:before="0" w:after="0"/>
        <w:ind w:left="120"/>
        <w:jc w:val="both"/>
      </w:pPr>
      <w:r>
        <w:rPr>
          <w:rFonts w:ascii="Times New Roman" w:hAnsi="Times New Roman"/>
          <w:b w:val="false"/>
          <w:i w:val="false"/>
          <w:color w:val="000000"/>
          <w:sz w:val="22"/>
        </w:rPr>
        <w:t xml:space="preserve">A cross-appeal may be taken under this rule or rule </w:t>
      </w:r>
      <w:hyperlink r:id="rId151">
        <w:r>
          <w:rPr>
            <w:rStyle w:val="Hyperlink"/>
            <w:rFonts w:ascii="Times New Roman" w:hAnsi="Times New Roman"/>
            <w:b w:val="false"/>
            <w:i w:val="false"/>
            <w:color w:val="000000"/>
            <w:sz w:val="22"/>
          </w:rPr>
          <w:t>876—4.25</w:t>
        </w:r>
      </w:hyperlink>
      <w:r>
        <w:rPr>
          <w:rFonts w:ascii="Times New Roman" w:hAnsi="Times New Roman"/>
          <w:b w:val="false"/>
          <w:i w:val="false"/>
          <w:color w:val="000000"/>
          <w:sz w:val="22"/>
        </w:rPr>
        <w:t>(17A,86) in the same manner as an appeal within the 20 days for the taking of an appeal or within 10 days after filing of the appeal, whichever is later.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2">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876—4.28</w:t>
      </w:r>
      <w:r>
        <w:rPr>
          <w:rFonts w:ascii="Times New Roman" w:hAnsi="Times New Roman"/>
          <w:b/>
          <w:i w:val="false"/>
          <w:color w:val="000000"/>
          <w:sz w:val="22"/>
        </w:rPr>
        <w:t xml:space="preserve">(17A,86) </w:t>
      </w:r>
      <w:r>
        <w:rPr>
          <w:rFonts w:ascii="Times New Roman" w:hAnsi="Times New Roman"/>
          <w:b/>
          <w:i w:val="false"/>
          <w:color w:val="000000"/>
          <w:sz w:val="22"/>
        </w:rPr>
        <w:t xml:space="preserve">Briefing requirements on appeal. </w:t>
      </w:r>
      <w:r>
        <w:rPr>
          <w:rFonts w:ascii="Times New Roman" w:hAnsi="Times New Roman"/>
          <w:b w:val="false"/>
          <w:i w:val="false"/>
          <w:color w:val="000000"/>
          <w:sz w:val="22"/>
        </w:rPr>
        <w:t>The workers’ compensation commissioner shall decide an appeal upon the record submitted to the deputy workers’ compensation commissioner unless the workers’ compensation commissioner is satisfied that additional newly discovered material evidence exists, which could not have been discovered and produced at the hearing with reasonable diligence. A party must file a request for taking additional evidence in WCES within 20 days after the notice of appeal was filed. If a party has been granted a waiver of the mandatory use of WCES, the party shall file the request for taking additional evidence with the division of workers’ compensation and serve a copy on the other parties. Any briefs required or allowed by this rule shall be filed promptly following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Time for serving briefs. </w:t>
      </w:r>
      <w:r>
        <w:rPr>
          <w:rFonts w:ascii="Times New Roman" w:hAnsi="Times New Roman"/>
          <w:b w:val="false"/>
          <w:i w:val="false"/>
          <w:color w:val="000000"/>
          <w:sz w:val="22"/>
        </w:rPr>
        <w:t>Appellant shall serve its brief within 50 days after the date on which notice of appeal was filed, or within 20 days after filing of the hearing transcript, whichever date is later. Appellee shall serve its brief within 20 days after service of the brief of appellant. If appellant serves a reply brief, it shall be done within 10 days after service of appellee’s brief.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Cross-appeals. </w:t>
      </w:r>
      <w:r>
        <w:rPr>
          <w:rFonts w:ascii="Times New Roman" w:hAnsi="Times New Roman"/>
          <w:b w:val="false"/>
          <w:i w:val="false"/>
          <w:color w:val="000000"/>
          <w:sz w:val="22"/>
        </w:rPr>
        <w:t>In the event of a cross-appeal, appellee (cross-appellant) shall serve its brief within 20 days after service of the brief of appellant. Appellant (cross-appellee) shall serve its responsive reply brief within 20 days after service of the brief of appellee. Appellee (cross-appellant) may serve a reply brief within 10 days after service of appellant’s reply brief. When more than one party appeals, the party filing the first notice of appeal will be designated the appellant and the party filing a subsequent notice of appeal will be designated the cross-appellant.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Multiple adverse parties. </w:t>
      </w:r>
      <w:r>
        <w:rPr>
          <w:rFonts w:ascii="Times New Roman" w:hAnsi="Times New Roman"/>
          <w:b w:val="false"/>
          <w:i w:val="false"/>
          <w:color w:val="000000"/>
          <w:sz w:val="22"/>
        </w:rPr>
        <w:t>In cases involving multiple appeals involving multiple claimants, employers, insurance carriers or the second injury fund, the workers’ compensation commissioner shall enter an order establishing a briefing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4.28(4)</w:t>
      </w:r>
      <w:r>
        <w:rPr>
          <w:rFonts w:ascii="Times New Roman" w:hAnsi="Times New Roman"/>
          <w:b w:val="false"/>
          <w:i w:val="false"/>
          <w:color w:val="000000"/>
          <w:sz w:val="22"/>
        </w:rPr>
        <w:t> </w:t>
      </w:r>
      <w:r>
        <w:rPr>
          <w:rFonts w:ascii="Times New Roman" w:hAnsi="Times New Roman"/>
          <w:b w:val="false"/>
          <w:i/>
          <w:color w:val="000000"/>
          <w:sz w:val="22"/>
        </w:rPr>
        <w:t xml:space="preserve">Form of briefs. </w:t>
      </w:r>
      <w:r>
        <w:rPr>
          <w:rFonts w:ascii="Times New Roman" w:hAnsi="Times New Roman"/>
          <w:b w:val="false"/>
          <w:i w:val="false"/>
          <w:color w:val="000000"/>
          <w:sz w:val="22"/>
        </w:rPr>
        <w:t>Respective briefs and exceptions on appeal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of the issues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argument corresponding to the separately stated issues and contentions of appellant with respect to the issues presented and reasons for them, with specific reference to the page or pages of the transcript which are material to the issues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conclusion stating the precise relief sought.</w:t>
      </w:r>
    </w:p>
    <w:p>
      <w:pPr>
        <w:spacing w:before="0" w:after="0"/>
        <w:ind w:left="120"/>
        <w:jc w:val="both"/>
      </w:pPr>
      <w:r>
        <w:rPr>
          <w:rFonts w:ascii="Times New Roman" w:hAnsi="Times New Roman"/>
          <w:b w:val="false"/>
          <w:i w:val="false"/>
          <w:color w:val="000000"/>
          <w:sz w:val="22"/>
        </w:rPr>
        <w:t>The appellee may submit a brief on appeal replying to the issues presented by the appellant, unless a cross-appeal is made in which case the brief of appellee shall contain the issues and argument involved in the cross-appeal as well as the response to the brief of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4.28(5)</w:t>
      </w:r>
      <w:r>
        <w:rPr>
          <w:rFonts w:ascii="Times New Roman" w:hAnsi="Times New Roman"/>
          <w:b w:val="false"/>
          <w:i w:val="false"/>
          <w:color w:val="000000"/>
          <w:sz w:val="22"/>
        </w:rPr>
        <w:t> </w:t>
      </w:r>
      <w:r>
        <w:rPr>
          <w:rFonts w:ascii="Times New Roman" w:hAnsi="Times New Roman"/>
          <w:b w:val="false"/>
          <w:i/>
          <w:color w:val="000000"/>
          <w:sz w:val="22"/>
        </w:rPr>
        <w:t xml:space="preserve">Length of briefs. </w:t>
      </w:r>
      <w:r>
        <w:rPr>
          <w:rFonts w:ascii="Times New Roman" w:hAnsi="Times New Roman"/>
          <w:b w:val="false"/>
          <w:i w:val="false"/>
          <w:color w:val="000000"/>
          <w:sz w:val="22"/>
        </w:rPr>
        <w:t xml:space="preserve">See rule </w:t>
      </w:r>
      <w:hyperlink r:id="rId154">
        <w:r>
          <w:rPr>
            <w:rStyle w:val="Hyperlink"/>
            <w:rFonts w:ascii="Times New Roman" w:hAnsi="Times New Roman"/>
            <w:b w:val="false"/>
            <w:i w:val="false"/>
            <w:color w:val="000000"/>
            <w:sz w:val="22"/>
          </w:rPr>
          <w:t>876—4.45</w:t>
        </w:r>
      </w:hyperlink>
      <w:r>
        <w:rPr>
          <w:rFonts w:ascii="Times New Roman" w:hAnsi="Times New Roman"/>
          <w:b w:val="false"/>
          <w:i w:val="false"/>
          <w:color w:val="000000"/>
          <w:sz w:val="22"/>
        </w:rPr>
        <w:t>(17A,86).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4.28(6)</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One extension of up to 30 days will be granted if a motion to extend the time is served on or before the date service of the brief is required by this rule. A subsequent extension requires a motion showing good cause. The commissioner may grant a party the right to serve and file a brief after the time to do so has expired if the appeal or cross-appeal has not been dismissed or decided, the party moves for relief within 60 days from the date service of the brief was due, and the motion shows that the failure to timely serve the brief was due to a good cause that could not have been avoided through the exercise of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4.28(7)</w:t>
      </w:r>
      <w:r>
        <w:rPr>
          <w:rFonts w:ascii="Times New Roman" w:hAnsi="Times New Roman"/>
          <w:b w:val="false"/>
          <w:i w:val="false"/>
          <w:color w:val="000000"/>
          <w:sz w:val="22"/>
        </w:rPr>
        <w:t> </w:t>
      </w:r>
      <w:r>
        <w:rPr>
          <w:rFonts w:ascii="Times New Roman" w:hAnsi="Times New Roman"/>
          <w:b w:val="false"/>
          <w:i/>
          <w:color w:val="000000"/>
          <w:sz w:val="22"/>
        </w:rPr>
        <w:t xml:space="preserve">Issues considered on appeal. </w:t>
      </w:r>
      <w:r>
        <w:rPr>
          <w:rFonts w:ascii="Times New Roman" w:hAnsi="Times New Roman"/>
          <w:b w:val="false"/>
          <w:i w:val="false"/>
          <w:color w:val="000000"/>
          <w:sz w:val="22"/>
        </w:rPr>
        <w:t xml:space="preserve">The appeal will consider the issues presented for review by the appellant and cross-appellant in their briefs and any issues necessarily incident to or dependent upon the issues that are expressly raised, except as provided in rule </w:t>
      </w:r>
      <w:hyperlink r:id="rId155">
        <w:r>
          <w:rPr>
            <w:rStyle w:val="Hyperlink"/>
            <w:rFonts w:ascii="Times New Roman" w:hAnsi="Times New Roman"/>
            <w:b w:val="false"/>
            <w:i w:val="false"/>
            <w:color w:val="000000"/>
            <w:sz w:val="22"/>
          </w:rPr>
          <w:t>876—4.29</w:t>
        </w:r>
      </w:hyperlink>
      <w:r>
        <w:rPr>
          <w:rFonts w:ascii="Times New Roman" w:hAnsi="Times New Roman"/>
          <w:b w:val="false"/>
          <w:i w:val="false"/>
          <w:color w:val="000000"/>
          <w:sz w:val="22"/>
        </w:rPr>
        <w:t>(86,17A). An issue will not be considered on appeal if the issue could have been, but was not, presented to the deputy workers’ compensation commissioner. An issue raised on appeal is decided de novo and the scope of the issue is viewed broadly. If the ruling from which the appeal was taken made a choice between alternative findings of fact, conclusions of law, theories of recovery or defenses and the alternative selected in the ruling is challenged as an issue on appeal, de novo review includes reconsideration of all alternatives that were available to the deputy.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4.28(8)</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If an appellant’s brief or cross-appellant’s brief is not served and filed within the time required by this rule, including any extension, the party defending against the appeal or cross-appeal may move for dismissal. If an appellant’s brief or cross-appellant’s brief is not served within 30 days after the time required by these rules, including any extension, the workers’ compensation commissioner will notify the party in default that upon 15 days from service of the notification the appeal or cross-appeal will be dismissed for want of prosecution unless the default is remedied within that period. If the default is not remedied, the appeal or cross-appeal will be dismissed. If an appellee’s brief or cross-appellee’s brief is not served and filed, the appeal will be decided without reference to that brief.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876—4.29</w:t>
      </w:r>
      <w:r>
        <w:rPr>
          <w:rFonts w:ascii="Times New Roman" w:hAnsi="Times New Roman"/>
          <w:b/>
          <w:i w:val="false"/>
          <w:color w:val="000000"/>
          <w:sz w:val="22"/>
        </w:rPr>
        <w:t xml:space="preserve">(86,17A) </w:t>
      </w:r>
      <w:r>
        <w:rPr>
          <w:rFonts w:ascii="Times New Roman" w:hAnsi="Times New Roman"/>
          <w:b/>
          <w:i w:val="false"/>
          <w:color w:val="000000"/>
          <w:sz w:val="22"/>
        </w:rPr>
        <w:t xml:space="preserve">Review upon motion. </w:t>
      </w:r>
      <w:r>
        <w:rPr>
          <w:rFonts w:ascii="Times New Roman" w:hAnsi="Times New Roman"/>
          <w:b w:val="false"/>
          <w:i w:val="false"/>
          <w:color w:val="000000"/>
          <w:sz w:val="22"/>
        </w:rPr>
        <w:t xml:space="preserve">Except as provided in rule </w:t>
      </w:r>
      <w:hyperlink r:id="rId157">
        <w:r>
          <w:rPr>
            <w:rStyle w:val="Hyperlink"/>
            <w:rFonts w:ascii="Times New Roman" w:hAnsi="Times New Roman"/>
            <w:b w:val="false"/>
            <w:i w:val="false"/>
            <w:color w:val="000000"/>
            <w:sz w:val="22"/>
          </w:rPr>
          <w:t>876—4.25</w:t>
        </w:r>
      </w:hyperlink>
      <w:r>
        <w:rPr>
          <w:rFonts w:ascii="Times New Roman" w:hAnsi="Times New Roman"/>
          <w:b w:val="false"/>
          <w:i w:val="false"/>
          <w:color w:val="000000"/>
          <w:sz w:val="22"/>
        </w:rPr>
        <w:t xml:space="preserve">(17A,86), the workers’ compensation commissioner may review the decision, order or ruling of a deputy workers’ compensation commissioner in any contested case upon the workers’ compensation commissioner’s own motion. Except as provided in rule </w:t>
      </w:r>
      <w:hyperlink r:id="rId158">
        <w:r>
          <w:rPr>
            <w:rStyle w:val="Hyperlink"/>
            <w:rFonts w:ascii="Times New Roman" w:hAnsi="Times New Roman"/>
            <w:b w:val="false"/>
            <w:i w:val="false"/>
            <w:color w:val="000000"/>
            <w:sz w:val="22"/>
          </w:rPr>
          <w:t>876—4.25</w:t>
        </w:r>
      </w:hyperlink>
      <w:r>
        <w:rPr>
          <w:rFonts w:ascii="Times New Roman" w:hAnsi="Times New Roman"/>
          <w:b w:val="false"/>
          <w:i w:val="false"/>
          <w:color w:val="000000"/>
          <w:sz w:val="22"/>
        </w:rPr>
        <w:t>(17A,86), the motion to review a decision, order or ruling in all contested cases must be filed within 20 days of the filing of the decision, order or ruling. The workers’ compensation commissioner shall specify in a notice filed in WCES or mailed to the parties by certified mail, return receipt requested, on the date of filing of the motion the issues to be reviewed and the additional evidence, if any, to be obtained by the parties. The hearing under this rule shall be heard in Polk County or in any locality designated by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9">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876—4.30</w:t>
      </w:r>
      <w:r>
        <w:rPr>
          <w:rFonts w:ascii="Times New Roman" w:hAnsi="Times New Roman"/>
          <w:b/>
          <w:i w:val="false"/>
          <w:color w:val="000000"/>
          <w:sz w:val="22"/>
        </w:rPr>
        <w:t xml:space="preserve">(86,17A) </w:t>
      </w:r>
      <w:r>
        <w:rPr>
          <w:rFonts w:ascii="Times New Roman" w:hAnsi="Times New Roman"/>
          <w:b/>
          <w:i w:val="false"/>
          <w:color w:val="000000"/>
          <w:sz w:val="22"/>
        </w:rPr>
        <w:t xml:space="preserve">Transcript on appeal or review. </w:t>
      </w:r>
      <w:r>
        <w:rPr>
          <w:rFonts w:ascii="Times New Roman" w:hAnsi="Times New Roman"/>
          <w:b w:val="false"/>
          <w:i w:val="false"/>
          <w:color w:val="000000"/>
          <w:sz w:val="22"/>
        </w:rPr>
        <w:t xml:space="preserve">When an appeal to or review on motion of the workers’ compensation commissioner is taken pursuant to rule </w:t>
      </w:r>
      <w:hyperlink r:id="rId161">
        <w:r>
          <w:rPr>
            <w:rStyle w:val="Hyperlink"/>
            <w:rFonts w:ascii="Times New Roman" w:hAnsi="Times New Roman"/>
            <w:b w:val="false"/>
            <w:i w:val="false"/>
            <w:color w:val="000000"/>
            <w:sz w:val="22"/>
          </w:rPr>
          <w:t>876—4.27</w:t>
        </w:r>
      </w:hyperlink>
      <w:r>
        <w:rPr>
          <w:rFonts w:ascii="Times New Roman" w:hAnsi="Times New Roman"/>
          <w:b w:val="false"/>
          <w:i w:val="false"/>
          <w:color w:val="000000"/>
          <w:sz w:val="22"/>
        </w:rPr>
        <w:t xml:space="preserve">(17A,86) or </w:t>
      </w:r>
      <w:hyperlink r:id="rId162">
        <w:r>
          <w:rPr>
            <w:rStyle w:val="Hyperlink"/>
            <w:rFonts w:ascii="Times New Roman" w:hAnsi="Times New Roman"/>
            <w:b w:val="false"/>
            <w:i w:val="false"/>
            <w:color w:val="000000"/>
            <w:sz w:val="22"/>
          </w:rPr>
          <w:t>876—4.29</w:t>
        </w:r>
      </w:hyperlink>
      <w:r>
        <w:rPr>
          <w:rFonts w:ascii="Times New Roman" w:hAnsi="Times New Roman"/>
          <w:b w:val="false"/>
          <w:i w:val="false"/>
          <w:color w:val="000000"/>
          <w:sz w:val="22"/>
        </w:rPr>
        <w:t>(86,17A), a transcript of the proceedings before the workers’ compensation commissioner shall be filed with the workers’ compensation commissioner within 30 days after the notice of the appeal is filed with the workers’ compensation commissioner. The appealing party shall bear the initial cost of transcription on appeal and shall pay the certified shorthand reporter or service for the transcript. In the event there is a cross-appeal, the appellant and cross-appellant shall share the cost of the transcript. In the event the cost of the transcript has been initially borne by a nonappealing party prior to appeal, the nonappealing party is entitled to reimbursement within 30 days after serving on the appealing party proof of the cost of the transcript. If not so reimbursed, the appeal may be dismissed.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86.19</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86.40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876—4.31</w:t>
      </w:r>
      <w:r>
        <w:rPr>
          <w:rFonts w:ascii="Times New Roman" w:hAnsi="Times New Roman"/>
          <w:b/>
          <w:i w:val="false"/>
          <w:color w:val="000000"/>
          <w:sz w:val="22"/>
        </w:rPr>
        <w:t xml:space="preserve">(86) </w:t>
      </w:r>
      <w:r>
        <w:rPr>
          <w:rFonts w:ascii="Times New Roman" w:hAnsi="Times New Roman"/>
          <w:b/>
          <w:i w:val="false"/>
          <w:color w:val="000000"/>
          <w:sz w:val="22"/>
        </w:rPr>
        <w:t xml:space="preserve">Completion of contested case record. </w:t>
      </w:r>
      <w:r>
        <w:rPr>
          <w:rFonts w:ascii="Times New Roman" w:hAnsi="Times New Roman"/>
          <w:b w:val="false"/>
          <w:i w:val="false"/>
          <w:color w:val="000000"/>
          <w:sz w:val="22"/>
        </w:rPr>
        <w:t>No evidence shall be taken after the 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8">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876—4.32</w:t>
      </w:r>
      <w:r>
        <w:rPr>
          <w:rFonts w:ascii="Times New Roman" w:hAnsi="Times New Roman"/>
          <w:b/>
          <w:i w:val="false"/>
          <w:color w:val="000000"/>
          <w:sz w:val="22"/>
        </w:rPr>
        <w:t xml:space="preserve">(86,17A) </w:t>
      </w:r>
      <w:r>
        <w:rPr>
          <w:rFonts w:ascii="Times New Roman" w:hAnsi="Times New Roman"/>
          <w:b/>
          <w:i w:val="false"/>
          <w:color w:val="000000"/>
          <w:sz w:val="22"/>
        </w:rPr>
        <w:t xml:space="preserve">Recording of proceedings. </w:t>
      </w:r>
      <w:r>
        <w:rPr>
          <w:rFonts w:ascii="Times New Roman" w:hAnsi="Times New Roman"/>
          <w:b w:val="false"/>
          <w:i w:val="false"/>
          <w:color w:val="000000"/>
          <w:sz w:val="22"/>
        </w:rPr>
        <w:t>The workers’ compensation commissioner may arrange for the attendance of a certified shorthand reporter or mechanical means to record proceedings in contested cases. The workers’ compensation commissioner may require the defendant employer or on appeal to the workers’ compensation commissioner, the appellant, to arrange for the attendance of a certified shorthand reporter or adequate mechanical means of recording the proceedings. The charges for attendance shall be paid initially to the certified shorthand reporter or service by the employer or, on an appeal to the workers’ compensation commissioner, the appellant. The charges shall be taxed as costs. The party initially paying the expense shall be reimbursed by the party taxed with the cost. If the expense is unpaid, it shall be paid by the party taxed with the cost.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9">
        <w:r>
          <w:rPr>
            <w:rStyle w:val="Hyperlink"/>
            <w:rFonts w:ascii="Times New Roman" w:hAnsi="Times New Roman"/>
            <w:b w:val="false"/>
            <w:i w:val="false"/>
            <w:color w:val="000000"/>
            <w:sz w:val="22"/>
          </w:rPr>
          <w:t>86.19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876—4.33</w:t>
      </w:r>
      <w:r>
        <w:rPr>
          <w:rFonts w:ascii="Times New Roman" w:hAnsi="Times New Roman"/>
          <w:b/>
          <w:i w:val="false"/>
          <w:color w:val="000000"/>
          <w:sz w:val="22"/>
        </w:rPr>
        <w:t xml:space="preserve">(86) </w:t>
      </w:r>
      <w:r>
        <w:rPr>
          <w:rFonts w:ascii="Times New Roman" w:hAnsi="Times New Roman"/>
          <w:b/>
          <w:i w:val="false"/>
          <w:color w:val="000000"/>
          <w:sz w:val="22"/>
        </w:rPr>
        <w:t xml:space="preserve">Costs. </w:t>
      </w:r>
      <w:r>
        <w:rPr>
          <w:rFonts w:ascii="Times New Roman" w:hAnsi="Times New Roman"/>
          <w:b w:val="false"/>
          <w:i w:val="false"/>
          <w:color w:val="000000"/>
          <w:sz w:val="22"/>
        </w:rPr>
        <w:t xml:space="preserve">Costs taxed by the workers’ compensation commissioner or a deputy workers’ compensation commissioner shall be (1) attendance of a certified shorthand reporter or presence of mechanical means at hearings and evidential depositions, (2) transcription costs when appropriate, (3) costs of service of the original notice and subpoenas, (4) witness fees and expenses as provided by Iowa Code sections </w:t>
      </w:r>
      <w:hyperlink r:id="rId170">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(5) the costs of doctors’ and practitioners’ deposition testimony, provided that said costs do not exceed the amounts provided by Iowa Code sections </w:t>
      </w:r>
      <w:hyperlink r:id="rId172">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(6) the reasonable costs of obtaining no more than two doctors’ or practitioners’ reports, (7) filing fees when appropriate, including convenience fees incurred by using the WCES payment gateway, and (8) costs of persons reviewing health service disputes. Costs of service of notice and subpoenas shall be paid initially to the serving person or agency by the party utilizing the service. Expenses and fees of witnesses or of obtaining doctors’ or practitioners’ reports initially shall be paid to the witnesses, doctors or practitioners by the party on whose behalf the witness is called or by whom the report is requested. Witness fees shall be paid in accordance with Iowa Code section </w:t>
      </w:r>
      <w:hyperlink r:id="rId174">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Proof of payment of any cost shall be filed with the workers’ compensation commissioner before costs are taxed. The party initially paying the expense shall be reimbursed by the party taxed with the cost. If the expense is unpaid, it shall be paid by the party taxed with the cost. Costs are to be assessed at the discretion of the deputy workers’ compensation commissioner or workers’ compensation commissioner hearing the case unless otherwise required by the Iowa Rules of Civil Procedure governing discovery.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5">
        <w:r>
          <w:rPr>
            <w:rStyle w:val="Hyperlink"/>
            <w:rFonts w:ascii="Times New Roman" w:hAnsi="Times New Roman"/>
            <w:b w:val="false"/>
            <w:i w:val="false"/>
            <w:color w:val="000000"/>
            <w:sz w:val="22"/>
          </w:rPr>
          <w:t>86.40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876—4.34</w:t>
      </w:r>
      <w:r>
        <w:rPr>
          <w:rFonts w:ascii="Times New Roman" w:hAnsi="Times New Roman"/>
          <w:b/>
          <w:i w:val="false"/>
          <w:color w:val="000000"/>
          <w:sz w:val="22"/>
        </w:rPr>
        <w:t xml:space="preserve">(86) </w:t>
      </w:r>
      <w:r>
        <w:rPr>
          <w:rFonts w:ascii="Times New Roman" w:hAnsi="Times New Roman"/>
          <w:b/>
          <w:i w:val="false"/>
          <w:color w:val="000000"/>
          <w:sz w:val="22"/>
        </w:rPr>
        <w:t xml:space="preserve">Dismissal for lack of prosecution. </w:t>
      </w:r>
      <w:r>
        <w:rPr>
          <w:rFonts w:ascii="Times New Roman" w:hAnsi="Times New Roman"/>
          <w:b w:val="false"/>
          <w:i w:val="false"/>
          <w:color w:val="000000"/>
          <w:sz w:val="22"/>
        </w:rPr>
        <w:t>It is the declared policy that in the exercise of reasonable diligence, all contested cases before the workers’ compensation commissioner, except under unusual circumstances, shall be brought to issue and heard at the earliest possible time. To accomplish such purpose the workers’ compensation commissioner may take the following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contested case, where the original notice and petition is on file in excess of two years, may be subject to dismissal after the notice in </w:t>
      </w:r>
      <w:hyperlink r:id="rId176">
        <w:r>
          <w:rPr>
            <w:rStyle w:val="Hyperlink"/>
            <w:rFonts w:ascii="Times New Roman" w:hAnsi="Times New Roman"/>
            <w:b w:val="false"/>
            <w:i w:val="false"/>
            <w:color w:val="000000"/>
            <w:sz w:val="22"/>
          </w:rPr>
          <w:t>4.34(2)</w:t>
        </w:r>
      </w:hyperlink>
      <w:r>
        <w:rPr>
          <w:rFonts w:ascii="Times New Roman" w:hAnsi="Times New Roman"/>
          <w:b w:val="false"/>
          <w:i w:val="false"/>
          <w:color w:val="000000"/>
          <w:sz w:val="22"/>
        </w:rPr>
        <w:t xml:space="preserve"> is sent to all parties and after the time as provided for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circumstances provided in </w:t>
      </w:r>
      <w:hyperlink r:id="rId177">
        <w:r>
          <w:rPr>
            <w:rStyle w:val="Hyperlink"/>
            <w:rFonts w:ascii="Times New Roman" w:hAnsi="Times New Roman"/>
            <w:b w:val="false"/>
            <w:i w:val="false"/>
            <w:color w:val="000000"/>
            <w:sz w:val="22"/>
          </w:rPr>
          <w:t>4.34(1)</w:t>
        </w:r>
      </w:hyperlink>
      <w:r>
        <w:rPr>
          <w:rFonts w:ascii="Times New Roman" w:hAnsi="Times New Roman"/>
          <w:b w:val="false"/>
          <w:i w:val="false"/>
          <w:color w:val="000000"/>
          <w:sz w:val="22"/>
        </w:rPr>
        <w:t xml:space="preserve"> occur, all parties to the action, or their attorneys, shall be sent notice from the division of workers’ compensation by certified mail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or dates of injury involved in the contested case or appeal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Counsel appearing;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filing of the petition 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the contested case proceeding will be dismissed without prejudice on the thirtieth day following the date of the notice unless good cause is shown why the contested case proceeding should not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val="false"/>
          <w:color w:val="000000"/>
          <w:sz w:val="22"/>
        </w:rPr>
        <w:t>The action or actions dismissed may at the discretion of the workers’ compensation commissioner and shall upon a showing that such dismissal was the result of oversight, mistake or other reasonable cause, be reinstated. Applications for such reinstatement, setting forth the grounds, shall be filed within three months from the date of dismissal.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8">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17A.3(1)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876—4.35</w:t>
      </w:r>
      <w:r>
        <w:rPr>
          <w:rFonts w:ascii="Times New Roman" w:hAnsi="Times New Roman"/>
          <w:b/>
          <w:i w:val="false"/>
          <w:color w:val="000000"/>
          <w:sz w:val="22"/>
        </w:rPr>
        <w:t xml:space="preserve">(86) </w:t>
      </w:r>
      <w:r>
        <w:rPr>
          <w:rFonts w:ascii="Times New Roman" w:hAnsi="Times New Roman"/>
          <w:b/>
          <w:i w:val="false"/>
          <w:color w:val="000000"/>
          <w:sz w:val="22"/>
        </w:rPr>
        <w:t xml:space="preserve">Rules of civil procedure. </w:t>
      </w:r>
      <w:r>
        <w:rPr>
          <w:rFonts w:ascii="Times New Roman" w:hAnsi="Times New Roman"/>
          <w:b w:val="false"/>
          <w:i w:val="false"/>
          <w:color w:val="000000"/>
          <w:sz w:val="22"/>
        </w:rPr>
        <w:t xml:space="preserve">The rules of civil procedure shall govern the contested case proceedings before the workers’ compensation commissioner unless the provisions are in conflict with these rules and Iowa Code chapters </w:t>
      </w:r>
      <w:hyperlink r:id="rId18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w:t>
      </w:r>
      <w:hyperlink r:id="rId18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In those circumstances, these rules or the appropriate Iowa Code section shall govern. Where appropriate, reference to the word “court” shall be deemed reference to the “workers’ compensation commissioner” and reference to the word “trial” shall be deemed reference to “contested case hearing.”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7">
        <w:r>
          <w:rPr>
            <w:rStyle w:val="Hyperlink"/>
            <w:rFonts w:ascii="Times New Roman" w:hAnsi="Times New Roman"/>
            <w:b w:val="false"/>
            <w:i w:val="false"/>
            <w:color w:val="000000"/>
            <w:sz w:val="22"/>
          </w:rPr>
          <w:t>17A.1</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w:t>
      </w:r>
      <w:hyperlink r:id="rId191">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876—4.36</w:t>
      </w:r>
      <w:r>
        <w:rPr>
          <w:rFonts w:ascii="Times New Roman" w:hAnsi="Times New Roman"/>
          <w:b/>
          <w:i w:val="false"/>
          <w:color w:val="000000"/>
          <w:sz w:val="22"/>
        </w:rPr>
        <w:t xml:space="preserve">(86) </w:t>
      </w:r>
      <w:r>
        <w:rPr>
          <w:rFonts w:ascii="Times New Roman" w:hAnsi="Times New Roman"/>
          <w:b/>
          <w:i w:val="false"/>
          <w:color w:val="000000"/>
          <w:sz w:val="22"/>
        </w:rPr>
        <w:t xml:space="preserve">Compliance with order or rules. </w:t>
      </w:r>
      <w:r>
        <w:rPr>
          <w:rFonts w:ascii="Times New Roman" w:hAnsi="Times New Roman"/>
          <w:b w:val="false"/>
          <w:i w:val="false"/>
          <w:color w:val="000000"/>
          <w:sz w:val="22"/>
        </w:rPr>
        <w:t>If any party to a contested case or an attorney representing such party shall fail to comply with these rules or any order of a deputy workers’ compensation commissioner or the workers’ compensation commissioner, the deputy workers’ compensation commissioner or workers’ compensation commissioner may impose sanctions which may include dismissing the action without prejudice, excluding or limiting evidence, assessing costs or expenses, and closing the record in whole or in part to further activity by the party.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2">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876—4.37</w:t>
      </w:r>
      <w:r>
        <w:rPr>
          <w:rFonts w:ascii="Times New Roman" w:hAnsi="Times New Roman"/>
          <w:b/>
          <w:i w:val="false"/>
          <w:color w:val="000000"/>
          <w:sz w:val="22"/>
        </w:rPr>
        <w:t xml:space="preserve">(86,17A) </w:t>
      </w:r>
      <w:r>
        <w:rPr>
          <w:rFonts w:ascii="Times New Roman" w:hAnsi="Times New Roman"/>
          <w:b/>
          <w:i w:val="false"/>
          <w:color w:val="000000"/>
          <w:sz w:val="22"/>
        </w:rPr>
        <w:t xml:space="preserve">Waiver of contested case provisions. </w:t>
      </w:r>
      <w:r>
        <w:rPr>
          <w:rFonts w:ascii="Times New Roman" w:hAnsi="Times New Roman"/>
          <w:b w:val="false"/>
          <w:i w:val="false"/>
          <w:color w:val="000000"/>
          <w:sz w:val="22"/>
        </w:rPr>
        <w:t xml:space="preserve">The parties who wish to waive the contested case provisions of Iowa Code chapter </w:t>
      </w:r>
      <w:hyperlink r:id="rId19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file a written stipulation of such waiver with the workers’ compensation commissioner before such waiver shall be recognized. The waiver shall specify the provisions waived such as a consent to delivery, waiver of original notice, or waiver of 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876—4.38</w:t>
      </w:r>
      <w:r>
        <w:rPr>
          <w:rFonts w:ascii="Times New Roman" w:hAnsi="Times New Roman"/>
          <w:b/>
          <w:i w:val="false"/>
          <w:color w:val="000000"/>
          <w:sz w:val="22"/>
        </w:rPr>
        <w:t xml:space="preserve">(17A) </w:t>
      </w:r>
      <w:r>
        <w:rPr>
          <w:rFonts w:ascii="Times New Roman" w:hAnsi="Times New Roman"/>
          <w:b/>
          <w:i w:val="false"/>
          <w:color w:val="000000"/>
          <w:sz w:val="22"/>
        </w:rPr>
        <w:t xml:space="preserve">Recusal.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val="false"/>
          <w:color w:val="000000"/>
          <w:sz w:val="22"/>
        </w:rPr>
        <w:t>The workers’ compensation commissioner or a deputy workers’ compensation commissioner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even the appearance of impropriety;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9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196">
        <w:r>
          <w:rPr>
            <w:rStyle w:val="Hyperlink"/>
            <w:rFonts w:ascii="Times New Roman" w:hAnsi="Times New Roman"/>
            <w:b w:val="false"/>
            <w:i w:val="false"/>
            <w:color w:val="000000"/>
            <w:sz w:val="22"/>
          </w:rPr>
          <w:t>876—4.38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val="false"/>
          <w:color w:val="000000"/>
          <w:sz w:val="22"/>
        </w:rPr>
        <w:t>In a situation where the workers’ compensation commissioner or deputy workers’ compensation commissioner knows of information which might reasonably be deemed to be a basis for recusal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97">
        <w:r>
          <w:rPr>
            <w:rStyle w:val="Hyperlink"/>
            <w:rFonts w:ascii="Times New Roman" w:hAnsi="Times New Roman"/>
            <w:b w:val="false"/>
            <w:i w:val="false"/>
            <w:color w:val="000000"/>
            <w:sz w:val="22"/>
          </w:rPr>
          <w:t>4.38(1)</w:t>
        </w:r>
      </w:hyperlink>
      <w:r>
        <w:rPr>
          <w:rFonts w:ascii="Times New Roman" w:hAnsi="Times New Roman"/>
          <w:b w:val="false"/>
          <w:i w:val="false"/>
          <w:color w:val="000000"/>
          <w:sz w:val="22"/>
        </w:rPr>
        <w:t xml:space="preserve">, the party shall file a motion supported by an affidavit pursuant to Iowa Code section </w:t>
      </w:r>
      <w:hyperlink r:id="rId198">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recusal but must establish the grounds by the introduction of evidence into the record.</w:t>
      </w:r>
    </w:p>
    <w:p>
      <w:pPr>
        <w:spacing w:before="0" w:after="0"/>
        <w:ind w:left="120"/>
        <w:jc w:val="both"/>
      </w:pPr>
      <w:r>
        <w:rPr>
          <w:rFonts w:ascii="Times New Roman" w:hAnsi="Times New Roman"/>
          <w:b w:val="false"/>
          <w:i w:val="false"/>
          <w:color w:val="000000"/>
          <w:sz w:val="22"/>
        </w:rPr>
        <w:t>If the workers’ compensation commissioner or deputy workers’ compensation commissioner determines that recusal is appropriate, that person shall withdraw. If that person determines that withdrawal is not required, that person shall enter an order to that effect.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876—4.39</w:t>
      </w:r>
      <w:r>
        <w:rPr>
          <w:rFonts w:ascii="Times New Roman" w:hAnsi="Times New Roman"/>
          <w:b/>
          <w:i w:val="false"/>
          <w:color w:val="000000"/>
          <w:sz w:val="22"/>
        </w:rPr>
        <w:t xml:space="preserve">(17A,86) </w:t>
      </w:r>
      <w:r>
        <w:rPr>
          <w:rFonts w:ascii="Times New Roman" w:hAnsi="Times New Roman"/>
          <w:b/>
          <w:i w:val="false"/>
          <w:color w:val="000000"/>
          <w:sz w:val="22"/>
        </w:rPr>
        <w:t xml:space="preserve">Filing by facsimile transmission (fax). </w:t>
      </w:r>
      <w:r>
        <w:rPr>
          <w:rFonts w:ascii="Times New Roman" w:hAnsi="Times New Roman"/>
          <w:b w:val="false"/>
          <w:i w:val="false"/>
          <w:color w:val="000000"/>
          <w:sz w:val="22"/>
        </w:rPr>
        <w:t xml:space="preserve">If a party has been granted a waiver of the mandatory use of WCES, all documents filed with the division of workers’ compensation pursuant to this chapter and Iowa Code section </w:t>
      </w:r>
      <w:hyperlink r:id="rId200">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 xml:space="preserve"> except an original notice and petition requesting a contested case proceeding (see Iowa Code section </w:t>
      </w:r>
      <w:hyperlink r:id="rId201">
        <w:r>
          <w:rPr>
            <w:rStyle w:val="Hyperlink"/>
            <w:rFonts w:ascii="Times New Roman" w:hAnsi="Times New Roman"/>
            <w:b w:val="false"/>
            <w:i w:val="false"/>
            <w:color w:val="000000"/>
            <w:sz w:val="22"/>
          </w:rPr>
          <w:t>17A.12(9)</w:t>
        </w:r>
      </w:hyperlink>
      <w:r>
        <w:rPr>
          <w:rFonts w:ascii="Times New Roman" w:hAnsi="Times New Roman"/>
          <w:b w:val="false"/>
          <w:i w:val="false"/>
          <w:color w:val="000000"/>
          <w:sz w:val="22"/>
        </w:rPr>
        <w:t>) may be filed by facsimile transmission (fax). A copy shall be filed for each case involved. A document filed by fax is presumed to be an accurate reproduction of the original. If a document filed by fax is illegible, a legible copy may be substituted and the date of filing shall be the date the illegible copy was received. The date of filing by fax is the date the document is received by the division of workers’ compensation. The division of workers’ compensation will not provide a mailed file-stamped copy of documents filed by fax. The fax number for the division of workers’ compensation is (515)281-6501.</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0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04">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05">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206">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876—4.40</w:t>
      </w:r>
      <w:r>
        <w:rPr>
          <w:rFonts w:ascii="Times New Roman" w:hAnsi="Times New Roman"/>
          <w:b/>
          <w:i w:val="false"/>
          <w:color w:val="000000"/>
          <w:sz w:val="22"/>
        </w:rPr>
        <w:t xml:space="preserve">(73GA,ch1261) </w:t>
      </w:r>
      <w:r>
        <w:rPr>
          <w:rFonts w:ascii="Times New Roman" w:hAnsi="Times New Roman"/>
          <w:b/>
          <w:i w:val="false"/>
          <w:color w:val="000000"/>
          <w:sz w:val="22"/>
        </w:rPr>
        <w:t xml:space="preserve">Dispute resolution. </w:t>
      </w:r>
      <w:r>
        <w:rPr>
          <w:rFonts w:ascii="Times New Roman" w:hAnsi="Times New Roman"/>
          <w:b w:val="false"/>
          <w:i w:val="false"/>
          <w:color w:val="000000"/>
          <w:sz w:val="22"/>
        </w:rPr>
        <w:t>The workers’ compensation commissioner or the workers’ compensation commissioner’s designee (hereinafter collectively referred to as the workers’ compensation commissioner) shall have all power reasonable and necessary to resolve contested cases filed under Chapter 4 of these rules. This power includes, but is not limited to, the following: the power to resolve matters pursuant to initiation of mandatory dispute resolution proceedings by the workers’ compensation commissioner; the power to resolve matters pursuant to a request by the parties; the power to impose sanctions; and the power to require conduct by the parties. However, no issue in a contested case may be finally resolved under this rule without consent of the parties.</w:t>
      </w:r>
    </w:p>
    <w:p>
      <w:pPr>
        <w:spacing w:before="0" w:after="0"/>
        <w:ind w:left="120"/>
        <w:jc w:val="both"/>
      </w:pPr>
      <w:r>
        <w:rPr>
          <w:rFonts w:ascii="Times New Roman" w:hAnsi="Times New Roman"/>
          <w:b w:val="false"/>
          <w:i w:val="false"/>
          <w:color w:val="000000"/>
          <w:sz w:val="22"/>
        </w:rPr>
        <w:t>An employee of the division of workers’ compensation who has been involved in dispute resolution shall not be a witness in any contested case proceeding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4.40(1)</w:t>
      </w:r>
      <w:r>
        <w:rPr>
          <w:rFonts w:ascii="Times New Roman" w:hAnsi="Times New Roman"/>
          <w:b w:val="false"/>
          <w:i w:val="false"/>
          <w:color w:val="000000"/>
          <w:sz w:val="22"/>
        </w:rPr>
        <w:t> </w:t>
      </w:r>
      <w:r>
        <w:rPr>
          <w:rFonts w:ascii="Times New Roman" w:hAnsi="Times New Roman"/>
          <w:b w:val="false"/>
          <w:i w:val="false"/>
          <w:color w:val="000000"/>
          <w:sz w:val="22"/>
        </w:rPr>
        <w:t>Mandatory proceedings. The workers’ compensation commissioner may require that the parties participate in dispute resolution in the following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oldest one-fourth of contested cases which are not scheduled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where discovery deadlines have been set pursuant to a prehearing order and the deadlines have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cases where the principal dispute is medical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cases where the only dispute is the extent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cases involving liability disputes of alleged workers’ compensation insurance carriers and alleged employers pursuant to Iowa Code section </w:t>
      </w:r>
      <w:hyperlink r:id="rId207">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apportionment of compensation payments pursuant to Iowa Code section </w:t>
      </w:r>
      <w:hyperlink r:id="rId208">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cases where the workers’ compensation commissioner determines that dispute resolution would be in the best interest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4.40(2)</w:t>
      </w:r>
      <w:r>
        <w:rPr>
          <w:rFonts w:ascii="Times New Roman" w:hAnsi="Times New Roman"/>
          <w:b w:val="false"/>
          <w:i w:val="false"/>
          <w:color w:val="000000"/>
          <w:sz w:val="22"/>
        </w:rPr>
        <w:t> </w:t>
      </w:r>
      <w:r>
        <w:rPr>
          <w:rFonts w:ascii="Times New Roman" w:hAnsi="Times New Roman"/>
          <w:b w:val="false"/>
          <w:i w:val="false"/>
          <w:color w:val="000000"/>
          <w:sz w:val="22"/>
        </w:rPr>
        <w:t>Voluntary proceedings. The parties may voluntarily agree to submit to dispute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must comply with the good faith requirements of rule </w:t>
      </w:r>
      <w:hyperlink r:id="rId209">
        <w:r>
          <w:rPr>
            <w:rStyle w:val="Hyperlink"/>
            <w:rFonts w:ascii="Times New Roman" w:hAnsi="Times New Roman"/>
            <w:b w:val="false"/>
            <w:i w:val="false"/>
            <w:color w:val="000000"/>
            <w:sz w:val="22"/>
          </w:rPr>
          <w:t>876—10.1(17A,85,86)</w:t>
        </w:r>
      </w:hyperlink>
      <w:r>
        <w:rPr>
          <w:rFonts w:ascii="Times New Roman" w:hAnsi="Times New Roman"/>
          <w:b w:val="false"/>
          <w:i w:val="false"/>
          <w:color w:val="000000"/>
          <w:sz w:val="22"/>
        </w:rPr>
        <w:t xml:space="preserve"> before requesting a voluntary proceeding pursuant to subrule </w:t>
      </w:r>
      <w:hyperlink r:id="rId210">
        <w:r>
          <w:rPr>
            <w:rStyle w:val="Hyperlink"/>
            <w:rFonts w:ascii="Times New Roman" w:hAnsi="Times New Roman"/>
            <w:b w:val="false"/>
            <w:i w:val="false"/>
            <w:color w:val="000000"/>
            <w:sz w:val="22"/>
          </w:rPr>
          <w:t>4.40(2)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4.40(4)</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hyperlink r:id="rId211">
        <w:r>
          <w:rPr>
            <w:rStyle w:val="Hyperlink"/>
            <w:rFonts w:ascii="Times New Roman" w:hAnsi="Times New Roman"/>
            <w:b w:val="false"/>
            <w:i w:val="false"/>
            <w:color w:val="000000"/>
            <w:sz w:val="22"/>
          </w:rPr>
          <w:t>876—subrule 10.1(5)</w:t>
        </w:r>
      </w:hyperlink>
      <w:r>
        <w:rPr>
          <w:rFonts w:ascii="Times New Roman" w:hAnsi="Times New Roman"/>
          <w:b w:val="false"/>
          <w:i w:val="false"/>
          <w:color w:val="000000"/>
          <w:sz w:val="22"/>
        </w:rPr>
        <w:t xml:space="preserve"> regarding informal dispute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4.40(5)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9/14/94</w:t>
      </w:r>
      <w:r>
        <w:rPr>
          <w:rFonts w:ascii="Times New Roman" w:hAnsi="Times New Roman"/>
          <w:b w:val="false"/>
          <w:i w:val="false"/>
          <w:color w:val="000000"/>
          <w:sz w:val="22"/>
        </w:rPr>
        <w:t>, effective 10/19/94.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2">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213">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hyperlink r:id="rId214">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1990 Iowa Acts, chapter 1261</w:t>
      </w:r>
      <w:r>
        <w:rPr>
          <w:rFonts w:ascii="Times New Roman" w:hAnsi="Times New Roman"/>
          <w:b w:val="false"/>
          <w:i w:val="false"/>
          <w:color w:val="000000"/>
          <w:sz w:val="22"/>
        </w:rPr>
        <w:t>, section 3.</w:t>
      </w:r>
    </w:p>
    <w:p>
      <w:pPr>
        <w:spacing w:before="210" w:after="0"/>
        <w:ind w:left="120"/>
        <w:jc w:val="both"/>
      </w:pPr>
      <w:r>
        <w:rPr>
          <w:rFonts w:ascii="Times New Roman" w:hAnsi="Times New Roman"/>
          <w:b/>
          <w:i w:val="false"/>
          <w:color w:val="000000"/>
          <w:sz w:val="22"/>
        </w:rPr>
        <w:t>876—4.41</w:t>
      </w:r>
      <w:r>
        <w:rPr>
          <w:rFonts w:ascii="Times New Roman" w:hAnsi="Times New Roman"/>
          <w:b w:val="false"/>
          <w:i w:val="false"/>
          <w:color w:val="000000"/>
          <w:sz w:val="22"/>
        </w:rPr>
        <w:t xml:space="preserve"> to </w:t>
      </w:r>
      <w:r>
        <w:rPr>
          <w:rFonts w:ascii="Times New Roman" w:hAnsi="Times New Roman"/>
          <w:b/>
          <w:i w:val="false"/>
          <w:color w:val="000000"/>
          <w:sz w:val="22"/>
        </w:rPr>
        <w:t>4.44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876—4.45</w:t>
      </w:r>
      <w:r>
        <w:rPr>
          <w:rFonts w:ascii="Times New Roman" w:hAnsi="Times New Roman"/>
          <w:b/>
          <w:i w:val="false"/>
          <w:color w:val="000000"/>
          <w:sz w:val="22"/>
        </w:rPr>
        <w:t xml:space="preserve">(17A,86) </w:t>
      </w:r>
      <w:r>
        <w:rPr>
          <w:rFonts w:ascii="Times New Roman" w:hAnsi="Times New Roman"/>
          <w:b/>
          <w:i w:val="false"/>
          <w:color w:val="000000"/>
          <w:sz w:val="22"/>
        </w:rPr>
        <w:t xml:space="preserve">Length of briefs. </w:t>
      </w:r>
      <w:r>
        <w:rPr>
          <w:rFonts w:ascii="Times New Roman" w:hAnsi="Times New Roman"/>
          <w:b w:val="false"/>
          <w:i w:val="false"/>
          <w:color w:val="000000"/>
          <w:sz w:val="22"/>
        </w:rPr>
        <w:t xml:space="preserve">Except by permission of the presiding deputy workers’ compensation commissioner or by permission of the workers’ compensation commissioner when an appeal pursuant to rule </w:t>
      </w:r>
      <w:hyperlink r:id="rId215">
        <w:r>
          <w:rPr>
            <w:rStyle w:val="Hyperlink"/>
            <w:rFonts w:ascii="Times New Roman" w:hAnsi="Times New Roman"/>
            <w:b w:val="false"/>
            <w:i w:val="false"/>
            <w:color w:val="000000"/>
            <w:sz w:val="22"/>
          </w:rPr>
          <w:t>876—4.27</w:t>
        </w:r>
      </w:hyperlink>
      <w:r>
        <w:rPr>
          <w:rFonts w:ascii="Times New Roman" w:hAnsi="Times New Roman"/>
          <w:b w:val="false"/>
          <w:i w:val="false"/>
          <w:color w:val="000000"/>
          <w:sz w:val="22"/>
        </w:rPr>
        <w:t xml:space="preserve">(17A,86) has been filed, principal briefs shall not exceed 50 Arabic-numbered pages. Reply briefs shall not exceed 25 Arabic-numbered pages. In the event of a cross-appeal, appellant’s (cross-appellee’s) responsive reply brief shall be considered a principal brief. The type used shall not be smaller than pica type, and each line shall contain an average of no more than 60 characters. If a brief is submitted in excess of the length allowed in this rule, the portion exceeding the allowable length will not be considered. This rule does not prohibit a presiding deputy workers’ compensation commissioner or the workers’ compensation commissioner from limiting the length of a brief. An exception to this rule is the length of briefs (three pages) in an application for alternate care. See subrule </w:t>
      </w:r>
      <w:hyperlink r:id="rId216">
        <w:r>
          <w:rPr>
            <w:rStyle w:val="Hyperlink"/>
            <w:rFonts w:ascii="Times New Roman" w:hAnsi="Times New Roman"/>
            <w:b w:val="false"/>
            <w:i w:val="false"/>
            <w:color w:val="000000"/>
            <w:sz w:val="22"/>
          </w:rPr>
          <w:t>4.48(11)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18">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219">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220">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86.24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876—4.46</w:t>
      </w:r>
      <w:r>
        <w:rPr>
          <w:rFonts w:ascii="Times New Roman" w:hAnsi="Times New Roman"/>
          <w:b/>
          <w:i w:val="false"/>
          <w:color w:val="000000"/>
          <w:sz w:val="22"/>
        </w:rPr>
        <w:t xml:space="preserve">(17A,85,86) </w:t>
      </w:r>
      <w:r>
        <w:rPr>
          <w:rFonts w:ascii="Times New Roman" w:hAnsi="Times New Roman"/>
          <w:b/>
          <w:i w:val="false"/>
          <w:color w:val="000000"/>
          <w:sz w:val="22"/>
        </w:rPr>
        <w:t xml:space="preserve">Contested case proceedings—health service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val="false"/>
          <w:color w:val="000000"/>
          <w:sz w:val="22"/>
        </w:rPr>
        <w:t xml:space="preserve">See rule </w:t>
      </w:r>
      <w:hyperlink r:id="rId222">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 for informal resolution procedures and definitions. The following definition also applies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“Petitioning party” </w:t>
      </w:r>
      <w:r>
        <w:rPr>
          <w:rFonts w:ascii="Times New Roman" w:hAnsi="Times New Roman"/>
          <w:b w:val="false"/>
          <w:i w:val="false"/>
          <w:color w:val="000000"/>
          <w:sz w:val="22"/>
        </w:rPr>
        <w:t>means the person who requests or initiates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utilization of the procedures given in rule </w:t>
      </w:r>
      <w:hyperlink r:id="rId223">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does not resolve the dispute and the parties have complied with the good faith requirements of rule </w:t>
      </w:r>
      <w:hyperlink r:id="rId224">
        <w:r>
          <w:rPr>
            <w:rStyle w:val="Hyperlink"/>
            <w:rFonts w:ascii="Times New Roman" w:hAnsi="Times New Roman"/>
            <w:b w:val="false"/>
            <w:i w:val="false"/>
            <w:color w:val="000000"/>
            <w:sz w:val="22"/>
          </w:rPr>
          <w:t>876—10.1</w:t>
        </w:r>
      </w:hyperlink>
      <w:r>
        <w:rPr>
          <w:rFonts w:ascii="Times New Roman" w:hAnsi="Times New Roman"/>
          <w:b w:val="false"/>
          <w:i w:val="false"/>
          <w:color w:val="000000"/>
          <w:sz w:val="22"/>
        </w:rPr>
        <w:t xml:space="preserve">(17A,85,86), a contested case may be initiated. The procedures given in rule </w:t>
      </w:r>
      <w:hyperlink r:id="rId225">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must be used prior to initiation of a contested case. The provider or the responsible party that is unwilling to accept the determination of the person making a determination after reviewing the dispute as provided in rule </w:t>
      </w:r>
      <w:hyperlink r:id="rId226">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shall initiate the contested case proceeding. The proceeding shall be initiated as provided in this chapter and Iowa Code chapter </w:t>
      </w:r>
      <w:hyperlink r:id="rId2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shall follow the provisions of this rule. The proceeding must be initiated within 30 days of the date of the determination made pursuant to rule </w:t>
      </w:r>
      <w:hyperlink r:id="rId228">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If a contested case proceeding is not initiated or is not initiated within the time provided in this rule, the allowed amount of the charge by the provider shall be the amount determined pursuant to rule </w:t>
      </w:r>
      <w:hyperlink r:id="rId229">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evidence submitted in the contested case proceeding shall be limited to the evidence submitted pursuant to rule </w:t>
      </w:r>
      <w:hyperlink r:id="rId230">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and a copy of the determination made pursuant to rule </w:t>
      </w:r>
      <w:hyperlink r:id="rId231">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This evidence shall be filed by the party requesting the contested case proceeding at the time the contested case proceeding is initiated. However, the workers’ compensation commissioner may request that additional evidence be submitted or may grant submission of additional evidence if the workers’ compensation commissioner is satisfied that there exists additional material evidence, newly discovered, which could not with reasonable diligence be discovered and produced pursuant to rule </w:t>
      </w:r>
      <w:hyperlink r:id="rId232">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The issues of the contested case proceeding shall be limited to the dispute considered in rule </w:t>
      </w:r>
      <w:hyperlink r:id="rId233">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4.46(4)</w:t>
      </w:r>
      <w:r>
        <w:rPr>
          <w:rFonts w:ascii="Times New Roman" w:hAnsi="Times New Roman"/>
          <w:b w:val="false"/>
          <w:i w:val="false"/>
          <w:color w:val="000000"/>
          <w:sz w:val="22"/>
        </w:rPr>
        <w:t> </w:t>
      </w:r>
      <w:r>
        <w:rPr>
          <w:rFonts w:ascii="Times New Roman" w:hAnsi="Times New Roman"/>
          <w:b w:val="false"/>
          <w:i w:val="false"/>
          <w:color w:val="000000"/>
          <w:sz w:val="22"/>
        </w:rPr>
        <w:t>The petitioning party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4.46(5)</w:t>
      </w:r>
      <w:r>
        <w:rPr>
          <w:rFonts w:ascii="Times New Roman" w:hAnsi="Times New Roman"/>
          <w:b w:val="false"/>
          <w:i w:val="false"/>
          <w:color w:val="000000"/>
          <w:sz w:val="22"/>
        </w:rPr>
        <w:t> </w:t>
      </w:r>
      <w:r>
        <w:rPr>
          <w:rFonts w:ascii="Times New Roman" w:hAnsi="Times New Roman"/>
          <w:b w:val="false"/>
          <w:i w:val="false"/>
          <w:color w:val="000000"/>
          <w:sz w:val="22"/>
        </w:rPr>
        <w:t>If the petitioning party wishes to file a brief, it must be filed with the request for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4.46(6)</w:t>
      </w:r>
      <w:r>
        <w:rPr>
          <w:rFonts w:ascii="Times New Roman" w:hAnsi="Times New Roman"/>
          <w:b w:val="false"/>
          <w:i w:val="false"/>
          <w:color w:val="000000"/>
          <w:sz w:val="22"/>
        </w:rPr>
        <w:t> </w:t>
      </w:r>
      <w:r>
        <w:rPr>
          <w:rFonts w:ascii="Times New Roman" w:hAnsi="Times New Roman"/>
          <w:b w:val="false"/>
          <w:i w:val="false"/>
          <w:color w:val="000000"/>
          <w:sz w:val="22"/>
        </w:rPr>
        <w:t>The opposing party must file a response within 30 days of the date of service of the request for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4.46(7)</w:t>
      </w:r>
      <w:r>
        <w:rPr>
          <w:rFonts w:ascii="Times New Roman" w:hAnsi="Times New Roman"/>
          <w:b w:val="false"/>
          <w:i w:val="false"/>
          <w:color w:val="000000"/>
          <w:sz w:val="22"/>
        </w:rPr>
        <w:t> </w:t>
      </w:r>
      <w:r>
        <w:rPr>
          <w:rFonts w:ascii="Times New Roman" w:hAnsi="Times New Roman"/>
          <w:b w:val="false"/>
          <w:i w:val="false"/>
          <w:color w:val="000000"/>
          <w:sz w:val="22"/>
        </w:rPr>
        <w:t>If the opposing party wishes to file a brief, it must be filed with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4.46(8)</w:t>
      </w:r>
      <w:r>
        <w:rPr>
          <w:rFonts w:ascii="Times New Roman" w:hAnsi="Times New Roman"/>
          <w:b w:val="false"/>
          <w:i w:val="false"/>
          <w:color w:val="000000"/>
          <w:sz w:val="22"/>
        </w:rPr>
        <w:t> </w:t>
      </w:r>
      <w:r>
        <w:rPr>
          <w:rFonts w:ascii="Times New Roman" w:hAnsi="Times New Roman"/>
          <w:b w:val="false"/>
          <w:i w:val="false"/>
          <w:color w:val="000000"/>
          <w:sz w:val="22"/>
        </w:rPr>
        <w:t>Sixty days after the request for contested case is filed with the workers’ compensation commissioner, the workers’ compensation commissioner will review the matter. The notice of the review to the parties shall be the provisions of this rule and no other notice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4.46(9)</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shall review the matter and make a decision as soon as practicable after the review. The decision shall be as provided in this chapter and Iowa Code chapter </w:t>
      </w:r>
      <w:hyperlink r:id="rId2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23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hyperlink r:id="rId240">
        <w:r>
          <w:rPr>
            <w:rStyle w:val="Hyperlink"/>
            <w:rFonts w:ascii="Times New Roman" w:hAnsi="Times New Roman"/>
            <w:b w:val="false"/>
            <w:i w:val="false"/>
            <w:color w:val="000000"/>
            <w:sz w:val="22"/>
          </w:rPr>
          <w:t>86.39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876—4.47</w:t>
      </w:r>
      <w:r>
        <w:rPr>
          <w:rFonts w:ascii="Times New Roman" w:hAnsi="Times New Roman"/>
          <w:b/>
          <w:i w:val="false"/>
          <w:color w:val="000000"/>
          <w:sz w:val="22"/>
        </w:rPr>
        <w:t xml:space="preserve">(17A,85,86) </w:t>
      </w:r>
      <w:r>
        <w:rPr>
          <w:rFonts w:ascii="Times New Roman" w:hAnsi="Times New Roman"/>
          <w:b/>
          <w:i w:val="false"/>
          <w:color w:val="000000"/>
          <w:sz w:val="22"/>
        </w:rPr>
        <w:t xml:space="preserve">Second injury fund benefits contested cases.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876—4.48</w:t>
      </w:r>
      <w:r>
        <w:rPr>
          <w:rFonts w:ascii="Times New Roman" w:hAnsi="Times New Roman"/>
          <w:b/>
          <w:i w:val="false"/>
          <w:color w:val="000000"/>
          <w:sz w:val="22"/>
        </w:rPr>
        <w:t xml:space="preserve">(17A,85,86) </w:t>
      </w:r>
      <w:r>
        <w:rPr>
          <w:rFonts w:ascii="Times New Roman" w:hAnsi="Times New Roman"/>
          <w:b/>
          <w:i w:val="false"/>
          <w:color w:val="000000"/>
          <w:sz w:val="22"/>
        </w:rPr>
        <w:t xml:space="preserve">Application for alternate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procedures for issuing decisions on applications for alternate care within the time provided in Iowa Code section </w:t>
      </w:r>
      <w:hyperlink r:id="rId241">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 alternate care,” </w:t>
      </w:r>
      <w:r>
        <w:rPr>
          <w:rFonts w:ascii="Times New Roman" w:hAnsi="Times New Roman"/>
          <w:b w:val="false"/>
          <w:i w:val="false"/>
          <w:color w:val="000000"/>
          <w:sz w:val="22"/>
        </w:rPr>
        <w:t xml:space="preserve">hereinafter referred to as “application,” shall mean a contested case proceeding filed with the workers’ compensation commissioner which requests alternate care pursuant to Iowa Code section </w:t>
      </w:r>
      <w:hyperlink r:id="rId242">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means the person or entity who is liable for payment of medical services provided pursuant to the Iowa workers’ compensation laws and includes an employer, an employer who has been relieved from insurance pursuant to Iowa Code section </w:t>
      </w:r>
      <w:hyperlink r:id="rId243">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and an insurance carrier which provides an employer with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 application” </w:t>
      </w:r>
      <w:r>
        <w:rPr>
          <w:rFonts w:ascii="Times New Roman" w:hAnsi="Times New Roman"/>
          <w:b w:val="false"/>
          <w:i w:val="false"/>
          <w:color w:val="000000"/>
          <w:sz w:val="22"/>
        </w:rPr>
        <w:t>means an application for alternate care that complies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4.48(3)</w:t>
      </w:r>
      <w:r>
        <w:rPr>
          <w:rFonts w:ascii="Times New Roman" w:hAnsi="Times New Roman"/>
          <w:b w:val="false"/>
          <w:i w:val="false"/>
          <w:color w:val="000000"/>
          <w:sz w:val="22"/>
        </w:rPr>
        <w:t> </w:t>
      </w:r>
      <w:r>
        <w:rPr>
          <w:rFonts w:ascii="Times New Roman" w:hAnsi="Times New Roman"/>
          <w:b w:val="false"/>
          <w:i/>
          <w:color w:val="000000"/>
          <w:sz w:val="22"/>
        </w:rPr>
        <w:t xml:space="preserve">Dissatisfaction—basis. </w:t>
      </w:r>
      <w:r>
        <w:rPr>
          <w:rFonts w:ascii="Times New Roman" w:hAnsi="Times New Roman"/>
          <w:b w:val="false"/>
          <w:i w:val="false"/>
          <w:color w:val="000000"/>
          <w:sz w:val="22"/>
        </w:rPr>
        <w:t>Prior to filing the application the employee must communicate the basis of dissatisfaction of the care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be filed on the form provided by the workers’ compensation commissioner; concern only the issue of alternate care; state the reasons for the employee’s dissatisfaction with the care chosen by the employer; be served on the employer; contain proof of service on the employer; and specify whether a telephone or in-person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4.48(5)</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No filing fee is due. See </w:t>
      </w:r>
      <w:hyperlink r:id="rId244">
        <w:r>
          <w:rPr>
            <w:rStyle w:val="Hyperlink"/>
            <w:rFonts w:ascii="Times New Roman" w:hAnsi="Times New Roman"/>
            <w:b w:val="false"/>
            <w:i w:val="false"/>
            <w:color w:val="000000"/>
            <w:sz w:val="22"/>
          </w:rPr>
          <w:t>4.8(2)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4.48(6)</w:t>
      </w:r>
      <w:r>
        <w:rPr>
          <w:rFonts w:ascii="Times New Roman" w:hAnsi="Times New Roman"/>
          <w:b w:val="false"/>
          <w:i w:val="false"/>
          <w:color w:val="000000"/>
          <w:sz w:val="22"/>
        </w:rPr>
        <w:t> </w:t>
      </w:r>
      <w:r>
        <w:rPr>
          <w:rFonts w:ascii="Times New Roman" w:hAnsi="Times New Roman"/>
          <w:b w:val="false"/>
          <w:i/>
          <w:color w:val="000000"/>
          <w:sz w:val="22"/>
        </w:rPr>
        <w:t xml:space="preserve">Employer liability. </w:t>
      </w:r>
      <w:r>
        <w:rPr>
          <w:rFonts w:ascii="Times New Roman" w:hAnsi="Times New Roman"/>
          <w:b w:val="false"/>
          <w:i w:val="false"/>
          <w:color w:val="000000"/>
          <w:sz w:val="22"/>
        </w:rPr>
        <w:t xml:space="preserve">Application cannot be filed under this rule if the liability of the employer is an issue. If an application is filed where the liability of the employer is an issue, the application will be dismissed without prejudice. (Petitions for alternate care where liability of the employer is an issue should be filed pursuant to rule </w:t>
      </w:r>
      <w:hyperlink r:id="rId245">
        <w:r>
          <w:rPr>
            <w:rStyle w:val="Hyperlink"/>
            <w:rFonts w:ascii="Times New Roman" w:hAnsi="Times New Roman"/>
            <w:b w:val="false"/>
            <w:i w:val="false"/>
            <w:color w:val="000000"/>
            <w:sz w:val="22"/>
          </w:rPr>
          <w:t>876—4.1</w:t>
        </w:r>
      </w:hyperlink>
      <w:r>
        <w:rPr>
          <w:rFonts w:ascii="Times New Roman" w:hAnsi="Times New Roman"/>
          <w:b w:val="false"/>
          <w:i w:val="false"/>
          <w:color w:val="000000"/>
          <w:sz w:val="22"/>
        </w:rPr>
        <w:t>(85,85A,85B,86,87,17A).)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workers’ compensation commissioner will notify the parties by ordinary mail, by facsimile transmission (fax) or by WCES of the time, place and nature of the hearing. No notice will be made until a proper application is received by the workers’ compensation commissioner. The notice will specify whether the hearing will be by telephone, in person or by other digital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4.48(8)</w:t>
      </w:r>
      <w:r>
        <w:rPr>
          <w:rFonts w:ascii="Times New Roman" w:hAnsi="Times New Roman"/>
          <w:b w:val="false"/>
          <w:i w:val="false"/>
          <w:color w:val="000000"/>
          <w:sz w:val="22"/>
        </w:rPr>
        <w:t> </w:t>
      </w:r>
      <w:r>
        <w:rPr>
          <w:rFonts w:ascii="Times New Roman" w:hAnsi="Times New Roman"/>
          <w:b w:val="false"/>
          <w:i/>
          <w:color w:val="000000"/>
          <w:sz w:val="22"/>
        </w:rPr>
        <w:t xml:space="preserve">Appearance or answer. </w:t>
      </w:r>
      <w:r>
        <w:rPr>
          <w:rFonts w:ascii="Times New Roman" w:hAnsi="Times New Roman"/>
          <w:b w:val="false"/>
          <w:i w:val="false"/>
          <w:color w:val="000000"/>
          <w:sz w:val="22"/>
        </w:rPr>
        <w:t>After being served with an application for alternate care, the employer shall file an appearance of answer as soon as practicable before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4.48(9)</w:t>
      </w:r>
      <w:r>
        <w:rPr>
          <w:rFonts w:ascii="Times New Roman" w:hAnsi="Times New Roman"/>
          <w:b w:val="false"/>
          <w:i w:val="false"/>
          <w:color w:val="000000"/>
          <w:sz w:val="22"/>
        </w:rPr>
        <w:t> </w:t>
      </w:r>
      <w:r>
        <w:rPr>
          <w:rFonts w:ascii="Times New Roman" w:hAnsi="Times New Roman"/>
          <w:b w:val="false"/>
          <w:i/>
          <w:color w:val="000000"/>
          <w:sz w:val="22"/>
        </w:rPr>
        <w:t xml:space="preserve">Discovery and evidence. </w:t>
      </w:r>
      <w:r>
        <w:rPr>
          <w:rFonts w:ascii="Times New Roman" w:hAnsi="Times New Roman"/>
          <w:b w:val="false"/>
          <w:i w:val="false"/>
          <w:color w:val="000000"/>
          <w:sz w:val="22"/>
        </w:rPr>
        <w:t xml:space="preserve">All discovery must be completed prior to the contested case hearing. See subrule </w:t>
      </w:r>
      <w:hyperlink r:id="rId246">
        <w:r>
          <w:rPr>
            <w:rStyle w:val="Hyperlink"/>
            <w:rFonts w:ascii="Times New Roman" w:hAnsi="Times New Roman"/>
            <w:b w:val="false"/>
            <w:i w:val="false"/>
            <w:color w:val="000000"/>
            <w:sz w:val="22"/>
          </w:rPr>
          <w:t>4.48(10)</w:t>
        </w:r>
      </w:hyperlink>
      <w:r>
        <w:rPr>
          <w:rFonts w:ascii="Times New Roman" w:hAnsi="Times New Roman"/>
          <w:b w:val="false"/>
          <w:i w:val="false"/>
          <w:color w:val="000000"/>
          <w:sz w:val="22"/>
        </w:rPr>
        <w:t xml:space="preserve"> on motions on discovery matters. Any written evidence to be used by the employer or the employee must be exchanged prior to the hearing. All written evidence must be filed with the agency before the date of the hearing. Written evidence shall be limited to ten pages per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4.48(10)</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All motions except as provided in this subrule will be considered at the hearing. A timely motion to change the type of hearing (telephone or in-person) may be considered prior to the hearing. The workers’ compensation commissioner will make no rulings on discovery matters or motions.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4.48(11)</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Hearing briefs, if any, must be filed with the agency before the date of the hearing and shall be limited to three pages.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The hearing will be held by telephone, in person or by other digital means in Des Moines, Iowa. The employer shall have the right to request an in-person hearing if the employee has requested a telephone hearing in the application. The employer shall on the record respond to the allegations contained in the application. The hearing will be electronically recorded. If there is an appeal of a proposed decision or judicial review of final agency action, the appealing party is responsible for filing a transcript of the hearing.</w:t>
      </w:r>
    </w:p>
    <w:p>
      <w:pPr>
        <w:spacing w:before="0" w:after="0"/>
        <w:ind w:left="120"/>
        <w:jc w:val="both"/>
      </w:pPr>
      <w:r>
        <w:rPr>
          <w:rFonts w:ascii="Times New Roman" w:hAnsi="Times New Roman"/>
          <w:b w:val="false"/>
          <w:i w:val="false"/>
          <w:color w:val="000000"/>
          <w:sz w:val="22"/>
        </w:rPr>
        <w:t>Copies of the recording will be provided to the parties upon notice of appeal. A transcript shall be provided by the appealing party pursuant to Iowa Code section </w:t>
      </w:r>
      <w:hyperlink r:id="rId247">
        <w:r>
          <w:rPr>
            <w:rStyle w:val="Hyperlink"/>
            <w:rFonts w:ascii="Times New Roman" w:hAnsi="Times New Roman"/>
            <w:b w:val="false"/>
            <w:i w:val="false"/>
            <w:color w:val="000000"/>
            <w:sz w:val="22"/>
          </w:rPr>
          <w:t>86.24(4)</w:t>
        </w:r>
      </w:hyperlink>
      <w:r>
        <w:rPr>
          <w:rFonts w:ascii="Times New Roman" w:hAnsi="Times New Roman"/>
          <w:b w:val="false"/>
          <w:i w:val="false"/>
          <w:color w:val="000000"/>
          <w:sz w:val="22"/>
        </w:rPr>
        <w:t xml:space="preserve"> and a copy thereof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248">
        <w:r>
          <w:rPr>
            <w:rStyle w:val="Hyperlink"/>
            <w:rFonts w:ascii="Times New Roman" w:hAnsi="Times New Roman"/>
            <w:b w:val="false"/>
            <w:i w:val="false"/>
            <w:color w:val="000000"/>
            <w:sz w:val="22"/>
          </w:rPr>
          <w:t>86.19(1)</w:t>
        </w:r>
      </w:hyperlink>
      <w:r>
        <w:rPr>
          <w:rFonts w:ascii="Times New Roman" w:hAnsi="Times New Roman"/>
          <w:b w:val="false"/>
          <w:i w:val="false"/>
          <w:color w:val="000000"/>
          <w:sz w:val="22"/>
        </w:rPr>
        <w:t xml:space="preserve"> by the party who disputes the accuracy of the transcript prepared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4.48(13)</w:t>
      </w:r>
      <w:r>
        <w:rPr>
          <w:rFonts w:ascii="Times New Roman" w:hAnsi="Times New Roman"/>
          <w:b w:val="false"/>
          <w:i w:val="false"/>
          <w:color w:val="000000"/>
          <w:sz w:val="22"/>
        </w:rPr>
        <w:t> </w:t>
      </w:r>
      <w:r>
        <w:rPr>
          <w:rFonts w:ascii="Times New Roman" w:hAnsi="Times New Roman"/>
          <w:b w:val="false"/>
          <w:i/>
          <w:color w:val="000000"/>
          <w:sz w:val="22"/>
        </w:rPr>
        <w:t xml:space="preserve">Represented party. </w:t>
      </w:r>
      <w:r>
        <w:rPr>
          <w:rFonts w:ascii="Times New Roman" w:hAnsi="Times New Roman"/>
          <w:b w:val="false"/>
          <w:i w:val="false"/>
          <w:color w:val="000000"/>
          <w:sz w:val="22"/>
        </w:rPr>
        <w:t xml:space="preserve">A party may be represented as provided in Iowa Code section </w:t>
      </w:r>
      <w:hyperlink r:id="rId249">
        <w:r>
          <w:rPr>
            <w:rStyle w:val="Hyperlink"/>
            <w:rFonts w:ascii="Times New Roman" w:hAnsi="Times New Roman"/>
            <w:b w:val="false"/>
            <w:i w:val="false"/>
            <w:color w:val="000000"/>
            <w:sz w:val="22"/>
          </w:rPr>
          <w:t>631.14</w:t>
        </w:r>
      </w:hyperlink>
      <w:r>
        <w:rPr>
          <w:rFonts w:ascii="Times New Roman" w:hAnsi="Times New Roman"/>
          <w:b w:val="false"/>
          <w:i w:val="false"/>
          <w:color w:val="000000"/>
          <w:sz w:val="22"/>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its insurance carrier shall be treated as one party unless their interests appear to be in conflict and a representative of either the employer or its insurance carrier shall be deemed to be a representative of both unless notice to the contrary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issued within 10 working days of receipt of a proper application when a telephone hearing is held or within 14 working days of receipt of a proper application when an in-person hearing is held.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51">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252">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and </w:t>
      </w:r>
      <w:hyperlink r:id="rId253">
        <w:r>
          <w:rPr>
            <w:rStyle w:val="Hyperlink"/>
            <w:rFonts w:ascii="Times New Roman" w:hAnsi="Times New Roman"/>
            <w:b w:val="false"/>
            <w:i w:val="false"/>
            <w:color w:val="000000"/>
            <w:sz w:val="22"/>
          </w:rPr>
          <w:t>86.17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876—4.49</w:t>
      </w:r>
      <w:r>
        <w:rPr>
          <w:rFonts w:ascii="Times New Roman" w:hAnsi="Times New Roman"/>
          <w:b/>
          <w:i w:val="false"/>
          <w:color w:val="000000"/>
          <w:sz w:val="22"/>
        </w:rPr>
        <w:t xml:space="preserve">(17A,85,86) </w:t>
      </w:r>
      <w:r>
        <w:rPr>
          <w:rFonts w:ascii="Times New Roman" w:hAnsi="Times New Roman"/>
          <w:b/>
          <w:i w:val="false"/>
          <w:color w:val="000000"/>
          <w:sz w:val="22"/>
        </w:rPr>
        <w:t xml:space="preserve">Method of holding hearing. </w:t>
      </w:r>
      <w:r>
        <w:rPr>
          <w:rFonts w:ascii="Times New Roman" w:hAnsi="Times New Roman"/>
          <w:b w:val="false"/>
          <w:i w:val="false"/>
          <w:color w:val="000000"/>
          <w:sz w:val="22"/>
        </w:rPr>
        <w:t>Any hearing held under this chapter may be by voice or video technology including but not limited to Internet-based video.</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5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256">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257">
        <w:r>
          <w:rPr>
            <w:rStyle w:val="Hyperlink"/>
            <w:rFonts w:ascii="Times New Roman" w:hAnsi="Times New Roman"/>
            <w:b w:val="false"/>
            <w:i w:val="false"/>
            <w:color w:val="000000"/>
            <w:sz w:val="22"/>
          </w:rPr>
          <w:t>86.17</w:t>
        </w:r>
      </w:hyperlink>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86.18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876—4.50</w:t>
      </w:r>
      <w:r>
        <w:rPr>
          <w:rFonts w:ascii="Times New Roman" w:hAnsi="Times New Roman"/>
          <w:b/>
          <w:i w:val="false"/>
          <w:color w:val="000000"/>
          <w:sz w:val="22"/>
        </w:rPr>
        <w:t xml:space="preserve">(85) </w:t>
      </w:r>
      <w:r>
        <w:rPr>
          <w:rFonts w:ascii="Times New Roman" w:hAnsi="Times New Roman"/>
          <w:b/>
          <w:i w:val="false"/>
          <w:color w:val="000000"/>
          <w:sz w:val="22"/>
        </w:rPr>
        <w:t xml:space="preserve">Vocational training, education,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procedures for issuing decisions on applications for vocational training, education, and supplies provided for in Iowa Code section </w:t>
      </w:r>
      <w:hyperlink r:id="rId259">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for vocational training and education hearing”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contested case proceeding filed with the division of workers’ compensation contesting the results of an evaluation and determination or contesting or requesting the termination of a vocational training and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and determination” </w:t>
      </w:r>
      <w:r>
        <w:rPr>
          <w:rFonts w:ascii="Times New Roman" w:hAnsi="Times New Roman"/>
          <w:b w:val="false"/>
          <w:i w:val="false"/>
          <w:color w:val="000000"/>
          <w:sz w:val="22"/>
        </w:rPr>
        <w:t xml:space="preserve">means an assessment conducted by the department of workforce development to determine if the employee would benefit from a vocational training and education program offered through an area community college to allow the employee to return to the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 for vocational training and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“request” </w:t>
      </w:r>
      <w:r>
        <w:rPr>
          <w:rFonts w:ascii="Times New Roman" w:hAnsi="Times New Roman"/>
          <w:b w:val="false"/>
          <w:i w:val="false"/>
          <w:color w:val="000000"/>
          <w:sz w:val="22"/>
        </w:rPr>
        <w:t>means a written request for an evaluation and determination of whether an employee is entitled to vocational training, education,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“Vocational training and education” </w:t>
      </w:r>
      <w:r>
        <w:rPr>
          <w:rFonts w:ascii="Times New Roman" w:hAnsi="Times New Roman"/>
          <w:b w:val="false"/>
          <w:i w:val="false"/>
          <w:color w:val="000000"/>
          <w:sz w:val="22"/>
        </w:rPr>
        <w:t>shall include general educational development programs for employees who have not graduated from high school or obtained a general education diploma, and career and technical education programs that provide instruction in the areas of agriculture, family and consumer sciences, health occupations, business, industrial technology, and marketing, offered through an area community college that will allow the employee to return 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vocational training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concern the issue of vocational training, education,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filed on the form provided by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reasons for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served on the other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Contain a proof of service on the other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Specify whether a telephone or in-person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vocational training and education must be filed in WCES unless a party has been granted a waiver of the mandatory use of WCES, in which case the party shall file the application for vocational training and education with the division of workers’ compensation. Applicant(s) must serve a copy of this form on the appellee(s) by certified mail, return receipt requested, or by personal service as in civil actions in accordance with rule </w:t>
      </w:r>
      <w:hyperlink r:id="rId260">
        <w:r>
          <w:rPr>
            <w:rStyle w:val="Hyperlink"/>
            <w:rFonts w:ascii="Times New Roman" w:hAnsi="Times New Roman"/>
            <w:b w:val="false"/>
            <w:i w:val="false"/>
            <w:color w:val="000000"/>
            <w:sz w:val="22"/>
          </w:rPr>
          <w:t>876—4.7</w:t>
        </w:r>
      </w:hyperlink>
      <w:r>
        <w:rPr>
          <w:rFonts w:ascii="Times New Roman" w:hAnsi="Times New Roman"/>
          <w:b w:val="false"/>
          <w:i w:val="false"/>
          <w:color w:val="000000"/>
          <w:sz w:val="22"/>
        </w:rPr>
        <w:t xml:space="preserve">(86,17A) and mail a copy to the attorney of record for the appellee(s), if known, in accordance with rule </w:t>
      </w:r>
      <w:hyperlink r:id="rId261">
        <w:r>
          <w:rPr>
            <w:rStyle w:val="Hyperlink"/>
            <w:rFonts w:ascii="Times New Roman" w:hAnsi="Times New Roman"/>
            <w:b w:val="false"/>
            <w:i w:val="false"/>
            <w:color w:val="000000"/>
            <w:sz w:val="22"/>
          </w:rPr>
          <w:t>876—4.13</w:t>
        </w:r>
      </w:hyperlink>
      <w:r>
        <w:rPr>
          <w:rFonts w:ascii="Times New Roman" w:hAnsi="Times New Roman"/>
          <w:b w:val="false"/>
          <w:i w:val="false"/>
          <w:color w:val="000000"/>
          <w:sz w:val="22"/>
        </w:rPr>
        <w:t>(86).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No filing fee is due. See paragraph 4.8(2)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w:t>
      </w:r>
      <w:r>
        <w:rPr>
          <w:rFonts w:ascii="Times New Roman" w:hAnsi="Times New Roman"/>
          <w:b w:val="false"/>
          <w:i w:val="false"/>
          <w:color w:val="000000"/>
          <w:sz w:val="22"/>
        </w:rPr>
        <w:t> </w:t>
      </w:r>
      <w:r>
        <w:rPr>
          <w:rFonts w:ascii="Times New Roman" w:hAnsi="Times New Roman"/>
          <w:b w:val="false"/>
          <w:i/>
          <w:color w:val="000000"/>
          <w:sz w:val="22"/>
        </w:rPr>
        <w:t xml:space="preserve">Request for vocational education and training. </w:t>
      </w:r>
      <w:r>
        <w:rPr>
          <w:rFonts w:ascii="Times New Roman" w:hAnsi="Times New Roman"/>
          <w:b w:val="false"/>
          <w:i w:val="false"/>
          <w:color w:val="000000"/>
          <w:sz w:val="22"/>
        </w:rPr>
        <w:t>Prior to filing an application, the employee shall complete a request on a form supplied by the department of workforce development and submit the completed form to the department of workforce development asking for an evaluation and determination. The employee, employer, or insurance carrier may contest the results of the evaluation and determination by filing an application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4.50(6)</w:t>
      </w:r>
      <w:r>
        <w:rPr>
          <w:rFonts w:ascii="Times New Roman" w:hAnsi="Times New Roman"/>
          <w:b w:val="false"/>
          <w:i w:val="false"/>
          <w:color w:val="000000"/>
          <w:sz w:val="22"/>
        </w:rPr>
        <w:t> </w:t>
      </w:r>
      <w:r>
        <w:rPr>
          <w:rFonts w:ascii="Times New Roman" w:hAnsi="Times New Roman"/>
          <w:b w:val="false"/>
          <w:i/>
          <w:color w:val="000000"/>
          <w:sz w:val="22"/>
        </w:rPr>
        <w:t xml:space="preserve">Proper application. </w:t>
      </w:r>
      <w:r>
        <w:rPr>
          <w:rFonts w:ascii="Times New Roman" w:hAnsi="Times New Roman"/>
          <w:b w:val="false"/>
          <w:i w:val="false"/>
          <w:color w:val="000000"/>
          <w:sz w:val="22"/>
        </w:rPr>
        <w:t>An application may not be filed under this rule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and determination has been made by the department of workforce development;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by the division of workers’ compensation or the employer or the employer’s insurance carrier or both and the employee agree that the employee has sustained an injury to the shoulder resulting in a permanent partial disability for which compensation is payable under Iowa Code section </w:t>
      </w:r>
      <w:hyperlink r:id="rId262">
        <w:r>
          <w:rPr>
            <w:rStyle w:val="Hyperlink"/>
            <w:rFonts w:ascii="Times New Roman" w:hAnsi="Times New Roman"/>
            <w:b w:val="false"/>
            <w:i w:val="false"/>
            <w:color w:val="000000"/>
            <w:sz w:val="22"/>
          </w:rPr>
          <w:t>85.34(2)</w:t>
        </w:r>
      </w:hyperlink>
      <w:r>
        <w:rPr>
          <w:rFonts w:ascii="Times New Roman" w:hAnsi="Times New Roman"/>
          <w:b w:val="false"/>
          <w:i/>
          <w:color w:val="000000"/>
          <w:sz w:val="22"/>
        </w:rPr>
        <w:t>“n,”</w:t>
      </w:r>
      <w:r>
        <w:rPr>
          <w:rFonts w:ascii="Times New Roman" w:hAnsi="Times New Roman"/>
          <w:b w:val="false"/>
          <w:i w:val="false"/>
          <w:color w:val="000000"/>
          <w:sz w:val="22"/>
        </w:rPr>
        <w:t xml:space="preserve"> and the employee cannot return to gainful employment because of such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workers’ compensation commissioner shall notify the parties by electronic mail, ordinary mail, or facsimile of the time, place, and nature of the hearing. No notice will be made until a proper application is received by the workers’ compensation commissioner. The notice shall specify whether the hearing will be held by telephone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4.50(8)</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Any written evidence to be used by the employer, the employer’s insurance carrier, or the employee must be exchanged prior to the hearing. All written evidence must be filed with the agency before the date of hearing. Written evidence shall be limited to 50 pages per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4.50(9)</w:t>
      </w:r>
      <w:r>
        <w:rPr>
          <w:rFonts w:ascii="Times New Roman" w:hAnsi="Times New Roman"/>
          <w:b w:val="false"/>
          <w:i w:val="false"/>
          <w:color w:val="000000"/>
          <w:sz w:val="22"/>
        </w:rPr>
        <w:t> </w:t>
      </w:r>
      <w:r>
        <w:rPr>
          <w:rFonts w:ascii="Times New Roman" w:hAnsi="Times New Roman"/>
          <w:b w:val="false"/>
          <w:i/>
          <w:color w:val="000000"/>
          <w:sz w:val="22"/>
        </w:rPr>
        <w:t xml:space="preserve">Motion to change hearing type. </w:t>
      </w:r>
      <w:r>
        <w:rPr>
          <w:rFonts w:ascii="Times New Roman" w:hAnsi="Times New Roman"/>
          <w:b w:val="false"/>
          <w:i w:val="false"/>
          <w:color w:val="000000"/>
          <w:sz w:val="22"/>
        </w:rPr>
        <w:t>A timely motion to change the type of hearing (telephone or in-person) may be considered prior to the hearing. The workers’ compensation commissioner will make no rulings on motions.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4.50(10)</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Hearing briefs, if any, must be filed with the agency before the date of the hearing and shall be limited to five pages.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The hearing will be held either by telephone or in person in Des Moines, Iowa. If the party filing the application does not request an in-person hearing in the application, the other parties may request an in-person hearing. The hearing will be recorded electronically. Copies of the recording will be provided to the parties. If there is an appeal of a proposed decision or judicial review of final agency action, the appealing party is responsible for filing a transcript of the hearing. A transcript shall be provided by the appealing party pursuant to Iowa Code section </w:t>
      </w:r>
      <w:hyperlink r:id="rId263">
        <w:r>
          <w:rPr>
            <w:rStyle w:val="Hyperlink"/>
            <w:rFonts w:ascii="Times New Roman" w:hAnsi="Times New Roman"/>
            <w:b w:val="false"/>
            <w:i w:val="false"/>
            <w:color w:val="000000"/>
            <w:sz w:val="22"/>
          </w:rPr>
          <w:t>86.24(4)</w:t>
        </w:r>
      </w:hyperlink>
      <w:r>
        <w:rPr>
          <w:rFonts w:ascii="Times New Roman" w:hAnsi="Times New Roman"/>
          <w:b w:val="false"/>
          <w:i w:val="false"/>
          <w:color w:val="000000"/>
          <w:sz w:val="22"/>
        </w:rPr>
        <w:t xml:space="preserve"> and a copy of the transcript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by the party that disputes the accuracy of the transcript, pursuant to Iowa Code section </w:t>
      </w:r>
      <w:hyperlink r:id="rId264">
        <w:r>
          <w:rPr>
            <w:rStyle w:val="Hyperlink"/>
            <w:rFonts w:ascii="Times New Roman" w:hAnsi="Times New Roman"/>
            <w:b w:val="false"/>
            <w:i w:val="false"/>
            <w:color w:val="000000"/>
            <w:sz w:val="22"/>
          </w:rPr>
          <w:t>86.19(1)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4.50(12)</w:t>
      </w:r>
      <w:r>
        <w:rPr>
          <w:rFonts w:ascii="Times New Roman" w:hAnsi="Times New Roman"/>
          <w:b w:val="false"/>
          <w:i w:val="false"/>
          <w:color w:val="000000"/>
          <w:sz w:val="22"/>
        </w:rPr>
        <w:t> </w:t>
      </w:r>
      <w:r>
        <w:rPr>
          <w:rFonts w:ascii="Times New Roman" w:hAnsi="Times New Roman"/>
          <w:b w:val="false"/>
          <w:i/>
          <w:color w:val="000000"/>
          <w:sz w:val="22"/>
        </w:rPr>
        <w:t xml:space="preserve">Represented party. </w:t>
      </w:r>
      <w:r>
        <w:rPr>
          <w:rFonts w:ascii="Times New Roman" w:hAnsi="Times New Roman"/>
          <w:b w:val="false"/>
          <w:i w:val="false"/>
          <w:color w:val="000000"/>
          <w:sz w:val="22"/>
        </w:rPr>
        <w:t xml:space="preserve">A party may be represented as provided in Iowa Code section </w:t>
      </w:r>
      <w:hyperlink r:id="rId265">
        <w:r>
          <w:rPr>
            <w:rStyle w:val="Hyperlink"/>
            <w:rFonts w:ascii="Times New Roman" w:hAnsi="Times New Roman"/>
            <w:b w:val="false"/>
            <w:i w:val="false"/>
            <w:color w:val="000000"/>
            <w:sz w:val="22"/>
          </w:rPr>
          <w:t>631.14</w:t>
        </w:r>
      </w:hyperlink>
      <w:r>
        <w:rPr>
          <w:rFonts w:ascii="Times New Roman" w:hAnsi="Times New Roman"/>
          <w:b w:val="false"/>
          <w:i w:val="false"/>
          <w:color w:val="000000"/>
          <w:sz w:val="22"/>
        </w:rPr>
        <w:t>. The presiding deputy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issued within 30 working days of receipt of a proper application.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67">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 xml:space="preserve">, and </w:t>
      </w:r>
      <w:hyperlink r:id="rId268">
        <w:r>
          <w:rPr>
            <w:rStyle w:val="Hyperlink"/>
            <w:rFonts w:ascii="Times New Roman" w:hAnsi="Times New Roman"/>
            <w:b w:val="false"/>
            <w:i w:val="false"/>
            <w:color w:val="000000"/>
            <w:sz w:val="22"/>
          </w:rPr>
          <w:t>86.17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876—4.51</w:t>
      </w:r>
      <w:r>
        <w:rPr>
          <w:rFonts w:ascii="Times New Roman" w:hAnsi="Times New Roman"/>
          <w:b/>
          <w:i w:val="false"/>
          <w:color w:val="000000"/>
          <w:sz w:val="22"/>
        </w:rPr>
        <w:t xml:space="preserve">(86) </w:t>
      </w:r>
      <w:r>
        <w:rPr>
          <w:rFonts w:ascii="Times New Roman" w:hAnsi="Times New Roman"/>
          <w:b/>
          <w:i w:val="false"/>
          <w:color w:val="000000"/>
          <w:sz w:val="22"/>
        </w:rPr>
        <w:t xml:space="preserve">Agency notice of judicial review matters. </w:t>
      </w:r>
      <w:r>
        <w:rPr>
          <w:rFonts w:ascii="Times New Roman" w:hAnsi="Times New Roman"/>
          <w:b w:val="false"/>
          <w:i w:val="false"/>
          <w:color w:val="000000"/>
          <w:sz w:val="22"/>
        </w:rPr>
        <w:t>A party who petitions for judicial review shall file a copy of the petition for judicial review in WCES within ten days of filing the petition with a district court. If a party has been granted a waiver of the mandatory use of WCES, the party shall file a copy of the petition for judicial review with the division of workers’ compensation within ten days of filing the petition with a district court. A party shall also file a copy of each appellate court decision in WCES within ten days of the date the appellate court decision was issued and filed. If a party has been granted a waiver of the mandatory use of WCES, the party shall file a copy of the appellate court decision with the division of workers’ compensation within ten days of the date the appellate court decision was issued and filed. Within 45 days of the filing of the final appellate court decision, the same party shall notify the division of workers’ compensation of the result of the appellate process.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6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7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7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7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273">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876—4.52</w:t>
      </w:r>
      <w:r>
        <w:rPr>
          <w:rFonts w:ascii="Times New Roman" w:hAnsi="Times New Roman"/>
          <w:b/>
          <w:i w:val="false"/>
          <w:color w:val="000000"/>
          <w:sz w:val="22"/>
        </w:rPr>
        <w:t xml:space="preserve">(86) </w:t>
      </w:r>
      <w:r>
        <w:rPr>
          <w:rFonts w:ascii="Times New Roman" w:hAnsi="Times New Roman"/>
          <w:b/>
          <w:i w:val="false"/>
          <w:color w:val="000000"/>
          <w:sz w:val="22"/>
        </w:rPr>
        <w:t xml:space="preserve">Rules of electronic procedure. </w:t>
      </w:r>
      <w:hyperlink r:id="rId274">
        <w:r>
          <w:rPr>
            <w:rStyle w:val="Hyperlink"/>
            <w:rFonts w:ascii="Times New Roman" w:hAnsi="Times New Roman"/>
            <w:b w:val="false"/>
            <w:i w:val="false"/>
            <w:color w:val="000000"/>
            <w:sz w:val="22"/>
          </w:rPr>
          <w:t>Chapter 16</w:t>
        </w:r>
      </w:hyperlink>
      <w:r>
        <w:rPr>
          <w:rFonts w:ascii="Times New Roman" w:hAnsi="Times New Roman"/>
          <w:b w:val="false"/>
          <w:i w:val="false"/>
          <w:color w:val="000000"/>
          <w:sz w:val="22"/>
        </w:rPr>
        <w:t xml:space="preserve"> of the Iowa Court Rules of Electronic Procedure shall govern the use and filings in WCES for contested case proceedings before the workers’ compensation commissioner unless the provisions are in conflict with these rules or Iowa Code chapters </w:t>
      </w:r>
      <w:hyperlink r:id="rId275">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76">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77">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78">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w:t>
      </w:r>
      <w:hyperlink r:id="rId27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obviously inapplicable to the workers’ compensation commissioner. In those circumstances, these rules or the appropriate Iowa Code section shall govern. Where appropriate, reference to the word “court” shall be deemed reference to the “workers’ compensation commissioner or deputy workers’ compensation commissioner,” reference to the word “trial” shall be deemed reference to “contested case hearing,” and reference to “clerk of court” shall be deemed reference to staff at the division of workers’ compensation.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8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82">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83">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84">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285">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[Emergency filed and effective 9/29/75—published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emergency 6/25/76—published 7/12/76, effective 7/1/76]</w:t>
      </w:r>
    </w:p>
    <w:p>
      <w:pPr>
        <w:spacing w:before="0" w:after="0"/>
        <w:ind w:left="120"/>
        <w:jc w:val="center"/>
      </w:pPr>
      <w:r>
        <w:rPr>
          <w:rFonts w:ascii="Times New Roman" w:hAnsi="Times New Roman"/>
          <w:b w:val="false"/>
          <w:i w:val="false"/>
          <w:color w:val="000000"/>
          <w:sz w:val="21"/>
        </w:rPr>
        <w:t>[Filed emergency 6/10/77—published 6/29/77, effective 7/1/77]</w:t>
      </w:r>
    </w:p>
    <w:p>
      <w:pPr>
        <w:spacing w:before="0" w:after="0"/>
        <w:ind w:left="120"/>
        <w:jc w:val="center"/>
      </w:pPr>
      <w:r>
        <w:rPr>
          <w:rFonts w:ascii="Times New Roman" w:hAnsi="Times New Roman"/>
          <w:b w:val="false"/>
          <w:i w:val="false"/>
          <w:color w:val="000000"/>
          <w:sz w:val="21"/>
        </w:rPr>
        <w:t>[Filed 8/3/77, Notice 6/29/77—published 8/24/77, effective 9/28/77]</w:t>
      </w:r>
    </w:p>
    <w:p>
      <w:pPr>
        <w:spacing w:before="0" w:after="0"/>
        <w:ind w:left="120"/>
        <w:jc w:val="center"/>
      </w:pPr>
      <w:r>
        <w:rPr>
          <w:rFonts w:ascii="Times New Roman" w:hAnsi="Times New Roman"/>
          <w:b w:val="false"/>
          <w:i w:val="false"/>
          <w:color w:val="000000"/>
          <w:sz w:val="21"/>
        </w:rPr>
        <w:t>[Filed 5/7/80, Notice 3/19/80—published 5/28/80, effective 7/2/80]</w:t>
      </w:r>
    </w:p>
    <w:p>
      <w:pPr>
        <w:spacing w:before="0" w:after="0"/>
        <w:ind w:left="120"/>
        <w:jc w:val="center"/>
      </w:pPr>
      <w:r>
        <w:rPr>
          <w:rFonts w:ascii="Times New Roman" w:hAnsi="Times New Roman"/>
          <w:b w:val="false"/>
          <w:i w:val="false"/>
          <w:color w:val="000000"/>
          <w:sz w:val="21"/>
        </w:rPr>
        <w:t>[Filed 9/26/80, Notice 8/20/80—published 10/15/80, effective 11/19/80]</w:t>
      </w:r>
    </w:p>
    <w:p>
      <w:pPr>
        <w:spacing w:before="0" w:after="0"/>
        <w:ind w:left="120"/>
        <w:jc w:val="center"/>
      </w:pPr>
      <w:r>
        <w:rPr>
          <w:rFonts w:ascii="Times New Roman" w:hAnsi="Times New Roman"/>
          <w:b w:val="false"/>
          <w:i w:val="false"/>
          <w:color w:val="000000"/>
          <w:sz w:val="21"/>
        </w:rPr>
        <w:t>[Filed 4/8/82, Notice 3/3/82—published 4/28/82, effective 6/2/82]</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3/21/85, Notice 1/2/85—published 4/10/85, effective 5/15/85]</w:t>
      </w:r>
    </w:p>
    <w:p>
      <w:pPr>
        <w:spacing w:before="0" w:after="0"/>
        <w:ind w:left="120"/>
        <w:jc w:val="center"/>
      </w:pPr>
      <w:r>
        <w:rPr>
          <w:rFonts w:ascii="Times New Roman" w:hAnsi="Times New Roman"/>
          <w:b w:val="false"/>
          <w:i w:val="false"/>
          <w:color w:val="000000"/>
          <w:sz w:val="21"/>
        </w:rPr>
        <w:t>[Filed 9/4/85, Notice 7/31/85—published 9/25/85, effective 10/30/85]</w:t>
      </w:r>
    </w:p>
    <w:p>
      <w:pPr>
        <w:spacing w:before="0" w:after="0"/>
        <w:ind w:left="120"/>
        <w:jc w:val="center"/>
      </w:pPr>
      <w:r>
        <w:rPr>
          <w:rFonts w:ascii="Times New Roman" w:hAnsi="Times New Roman"/>
          <w:b w:val="false"/>
          <w:i w:val="false"/>
          <w:color w:val="000000"/>
          <w:sz w:val="21"/>
        </w:rPr>
        <w:t>[Filed emergency 6/24/86—published 7/16/86, effective 7/1/86]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6/26/86, Notice 5/21/86—published 7/16/86, effective 8/20/86]</w:t>
      </w:r>
    </w:p>
    <w:p>
      <w:pPr>
        <w:spacing w:before="0" w:after="0"/>
        <w:ind w:left="120"/>
        <w:jc w:val="center"/>
      </w:pPr>
      <w:r>
        <w:rPr>
          <w:rFonts w:ascii="Times New Roman" w:hAnsi="Times New Roman"/>
          <w:b w:val="false"/>
          <w:i w:val="false"/>
          <w:color w:val="000000"/>
          <w:sz w:val="21"/>
        </w:rPr>
        <w:t>[Editorially transferred from [500] to [343] IAC Supp. 9/24/86]</w:t>
      </w:r>
    </w:p>
    <w:p>
      <w:pPr>
        <w:spacing w:before="0" w:after="0"/>
        <w:ind w:left="120"/>
        <w:jc w:val="center"/>
      </w:pPr>
      <w:r>
        <w:rPr>
          <w:rFonts w:ascii="Times New Roman" w:hAnsi="Times New Roman"/>
          <w:b w:val="false"/>
          <w:i w:val="false"/>
          <w:color w:val="000000"/>
          <w:sz w:val="21"/>
        </w:rPr>
        <w:t>[Filed emergency 12/11/86—published 12/31/86, effective 12/11/86]</w:t>
      </w:r>
    </w:p>
    <w:p>
      <w:pPr>
        <w:spacing w:before="0" w:after="0"/>
        <w:ind w:left="120"/>
        <w:jc w:val="center"/>
      </w:pPr>
      <w:r>
        <w:rPr>
          <w:rFonts w:ascii="Times New Roman" w:hAnsi="Times New Roman"/>
          <w:b w:val="false"/>
          <w:i w:val="false"/>
          <w:color w:val="000000"/>
          <w:sz w:val="21"/>
        </w:rPr>
        <w:t>[Filed 5/27/87, Notice 4/22/87—published 6/17/87, effective 7/22/87]</w:t>
      </w:r>
    </w:p>
    <w:p>
      <w:pPr>
        <w:spacing w:before="0" w:after="0"/>
        <w:ind w:left="120"/>
        <w:jc w:val="center"/>
      </w:pPr>
      <w:r>
        <w:rPr>
          <w:rFonts w:ascii="Times New Roman" w:hAnsi="Times New Roman"/>
          <w:b w:val="false"/>
          <w:i w:val="false"/>
          <w:color w:val="000000"/>
          <w:sz w:val="21"/>
        </w:rPr>
        <w:t>[Filed emergency 6/23/88—published 7/13/88, effective 7/1/88]</w:t>
      </w:r>
    </w:p>
    <w:p>
      <w:pPr>
        <w:spacing w:before="0" w:after="0"/>
        <w:ind w:left="120"/>
        <w:jc w:val="center"/>
      </w:pPr>
      <w:r>
        <w:rPr>
          <w:rFonts w:ascii="Times New Roman" w:hAnsi="Times New Roman"/>
          <w:b w:val="false"/>
          <w:i w:val="false"/>
          <w:color w:val="000000"/>
          <w:sz w:val="21"/>
        </w:rPr>
        <w:t>[Filed 6/29/89, Notice 5/31/89—published 7/26/89, effective 8/30/89]</w:t>
      </w:r>
    </w:p>
    <w:p>
      <w:pPr>
        <w:spacing w:before="0" w:after="0"/>
        <w:ind w:left="120"/>
        <w:jc w:val="center"/>
      </w:pPr>
      <w:r>
        <w:rPr>
          <w:rFonts w:ascii="Times New Roman" w:hAnsi="Times New Roman"/>
          <w:b w:val="false"/>
          <w:i w:val="false"/>
          <w:color w:val="000000"/>
          <w:sz w:val="21"/>
        </w:rPr>
        <w:t>[Filed emergency 8/31/89—published 9/20/89, effective 9/1/89]</w:t>
      </w:r>
    </w:p>
    <w:p>
      <w:pPr>
        <w:spacing w:before="0" w:after="0"/>
        <w:ind w:left="120"/>
        <w:jc w:val="center"/>
      </w:pPr>
      <w:r>
        <w:rPr>
          <w:rFonts w:ascii="Times New Roman" w:hAnsi="Times New Roman"/>
          <w:b w:val="false"/>
          <w:i w:val="false"/>
          <w:color w:val="000000"/>
          <w:sz w:val="21"/>
        </w:rPr>
        <w:t>[Filed 11/9/89, Notice 9/20/89—published 11/29/89, effective 1/3/90]</w:t>
      </w:r>
    </w:p>
    <w:p>
      <w:pPr>
        <w:spacing w:before="0" w:after="0"/>
        <w:ind w:left="120"/>
        <w:jc w:val="center"/>
      </w:pPr>
      <w:r>
        <w:rPr>
          <w:rFonts w:ascii="Times New Roman" w:hAnsi="Times New Roman"/>
          <w:b w:val="false"/>
          <w:i w:val="false"/>
          <w:color w:val="000000"/>
          <w:sz w:val="21"/>
        </w:rPr>
        <w:t>[Filed emergency 6/19/90—published 7/11/90, effective 7/1/90]</w:t>
      </w:r>
    </w:p>
    <w:p>
      <w:pPr>
        <w:spacing w:before="0" w:after="0"/>
        <w:ind w:left="120"/>
        <w:jc w:val="center"/>
      </w:pPr>
      <w:r>
        <w:rPr>
          <w:rFonts w:ascii="Times New Roman" w:hAnsi="Times New Roman"/>
          <w:b w:val="false"/>
          <w:i w:val="false"/>
          <w:color w:val="000000"/>
          <w:sz w:val="21"/>
        </w:rPr>
        <w:t>[Filed 1/16/91, Notice 7/11/90—published 2/6/91, effective 3/13/91]</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emergency 6/5/92—published 6/24/92, effective 7/1/92]</w:t>
      </w:r>
    </w:p>
    <w:p>
      <w:pPr>
        <w:spacing w:before="0" w:after="0"/>
        <w:ind w:left="120"/>
        <w:jc w:val="center"/>
      </w:pPr>
      <w:r>
        <w:rPr>
          <w:rFonts w:ascii="Times New Roman" w:hAnsi="Times New Roman"/>
          <w:b w:val="false"/>
          <w:i w:val="false"/>
          <w:color w:val="000000"/>
          <w:sz w:val="21"/>
        </w:rPr>
        <w:t>[Filed emergency 6/19/92—published 7/8/92, effective 7/1/92]</w:t>
      </w:r>
    </w:p>
    <w:p>
      <w:pPr>
        <w:spacing w:before="0" w:after="0"/>
        <w:ind w:left="120"/>
        <w:jc w:val="center"/>
      </w:pPr>
      <w:r>
        <w:rPr>
          <w:rFonts w:ascii="Times New Roman" w:hAnsi="Times New Roman"/>
          <w:b w:val="false"/>
          <w:i w:val="false"/>
          <w:color w:val="000000"/>
          <w:sz w:val="21"/>
        </w:rPr>
        <w:t>[Filed 8/13/92, Notice 6/24/92—published 9/2/92, effective 10/7/92]</w:t>
      </w:r>
    </w:p>
    <w:p>
      <w:pPr>
        <w:spacing w:before="0" w:after="0"/>
        <w:ind w:left="120"/>
        <w:jc w:val="center"/>
      </w:pPr>
      <w:r>
        <w:rPr>
          <w:rFonts w:ascii="Times New Roman" w:hAnsi="Times New Roman"/>
          <w:b w:val="false"/>
          <w:i w:val="false"/>
          <w:color w:val="000000"/>
          <w:sz w:val="21"/>
        </w:rPr>
        <w:t>[Filed 8/13/92, Notice 7/8/92—published 9/2/92, effective 10/7/92]</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1/13/95, Notice 12/7/94—published 2/1/95, effective 3/8/95]</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5/1/98, Notice 3/25/98—published 5/20/98, effective 6/24/98]</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10/29/02, Notice 9/18/02—published 11/27/02, effective 1/1/03]</w:t>
      </w:r>
    </w:p>
    <w:p>
      <w:pPr>
        <w:spacing w:before="0" w:after="0"/>
        <w:ind w:left="120"/>
        <w:jc w:val="center"/>
      </w:pPr>
      <w:r>
        <w:rPr>
          <w:rFonts w:ascii="Times New Roman" w:hAnsi="Times New Roman"/>
          <w:b w:val="false"/>
          <w:i w:val="false"/>
          <w:color w:val="000000"/>
          <w:sz w:val="21"/>
        </w:rPr>
        <w:t>[Filed emergency 12/16/02—published 1/8/03, effective 1/1/03]</w:t>
      </w:r>
    </w:p>
    <w:p>
      <w:pPr>
        <w:spacing w:before="0" w:after="0"/>
        <w:ind w:left="120"/>
        <w:jc w:val="center"/>
      </w:pPr>
      <w:r>
        <w:rPr>
          <w:rFonts w:ascii="Times New Roman" w:hAnsi="Times New Roman"/>
          <w:b w:val="false"/>
          <w:i w:val="false"/>
          <w:color w:val="000000"/>
          <w:sz w:val="21"/>
        </w:rPr>
        <w:t>[Filed 7/1/03, Notice 1/8/03—published 7/23/03, effective 8/27/03]</w:t>
      </w:r>
    </w:p>
    <w:p>
      <w:pPr>
        <w:spacing w:before="0" w:after="0"/>
        <w:ind w:left="120"/>
        <w:jc w:val="center"/>
      </w:pPr>
      <w:r>
        <w:rPr>
          <w:rFonts w:ascii="Times New Roman" w:hAnsi="Times New Roman"/>
          <w:b w:val="false"/>
          <w:i w:val="false"/>
          <w:color w:val="000000"/>
          <w:sz w:val="21"/>
        </w:rPr>
        <w:t>[Filed emergency 7/1/04—published 7/21/04, effective 7/1/04]</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10/21/04, Notice 9/15/04—published 11/10/04, effective 1/1/05]</w:t>
      </w:r>
    </w:p>
    <w:p>
      <w:pPr>
        <w:spacing w:before="0" w:after="0"/>
        <w:ind w:left="120"/>
        <w:jc w:val="center"/>
      </w:pPr>
      <w:r>
        <w:rPr>
          <w:rFonts w:ascii="Times New Roman" w:hAnsi="Times New Roman"/>
          <w:b w:val="false"/>
          <w:i w:val="false"/>
          <w:color w:val="000000"/>
          <w:sz w:val="21"/>
        </w:rPr>
        <w:t>[Filed 11/4/05, Notice 9/14/05—published 11/23/05, effective 1/1/06]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emergency 6/15/07—published 7/18/07, effective 7/1/07]</w:t>
      </w:r>
    </w:p>
    <w:p>
      <w:pPr>
        <w:spacing w:before="0" w:after="0"/>
        <w:ind w:left="120"/>
        <w:jc w:val="center"/>
      </w:pPr>
      <w:r>
        <w:rPr>
          <w:rFonts w:ascii="Times New Roman" w:hAnsi="Times New Roman"/>
          <w:b w:val="false"/>
          <w:i w:val="false"/>
          <w:color w:val="000000"/>
          <w:sz w:val="21"/>
        </w:rPr>
        <w:t>[Filed 9/6/07, Notice 7/18/07—published 9/26/07, effective 10/31/07]</w:t>
      </w:r>
    </w:p>
    <w:p>
      <w:pPr>
        <w:spacing w:before="0" w:after="0"/>
        <w:ind w:left="120"/>
        <w:jc w:val="center"/>
      </w:pPr>
      <w:r>
        <w:rPr>
          <w:rFonts w:ascii="Times New Roman" w:hAnsi="Times New Roman"/>
          <w:b w:val="false"/>
          <w:i w:val="false"/>
          <w:color w:val="000000"/>
          <w:sz w:val="21"/>
        </w:rPr>
        <w:t>[Filed Emergency ARC 7818B, IAB 6/3/09, effective 7/1/09]</w:t>
      </w:r>
    </w:p>
    <w:p>
      <w:pPr>
        <w:spacing w:before="0" w:after="0"/>
        <w:ind w:left="120"/>
        <w:jc w:val="center"/>
      </w:pPr>
      <w:r>
        <w:rPr>
          <w:rFonts w:ascii="Times New Roman" w:hAnsi="Times New Roman"/>
          <w:b w:val="false"/>
          <w:i w:val="false"/>
          <w:color w:val="000000"/>
          <w:sz w:val="21"/>
        </w:rPr>
        <w:t>[Filed ARC 8013B</w:t>
      </w:r>
      <w:r>
        <w:rPr>
          <w:rFonts w:ascii="Times New Roman" w:hAnsi="Times New Roman"/>
          <w:b w:val="false"/>
          <w:i w:val="false"/>
          <w:color w:val="000000"/>
          <w:sz w:val="21"/>
        </w:rPr>
        <w:t xml:space="preserve"> (Notice ARC 7819B,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Emergency After Notice ARC 4568C</w:t>
      </w:r>
      <w:r>
        <w:rPr>
          <w:rFonts w:ascii="Times New Roman" w:hAnsi="Times New Roman"/>
          <w:b w:val="false"/>
          <w:i w:val="false"/>
          <w:color w:val="000000"/>
          <w:sz w:val="21"/>
        </w:rPr>
        <w:t xml:space="preserve"> (Notice ARC 4472C, IAB 6/5/19)</w:t>
      </w:r>
      <w:r>
        <w:rPr>
          <w:rFonts w:ascii="Times New Roman" w:hAnsi="Times New Roman"/>
          <w:b w:val="false"/>
          <w:i w:val="false"/>
          <w:color w:val="000000"/>
          <w:sz w:val="21"/>
        </w:rPr>
        <w:t>, IAB 7/31/19, effective 7/10/19]</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6.14.pdf" Type="http://schemas.openxmlformats.org/officeDocument/2006/relationships/hyperlink" Id="rId5"/>
    <Relationship TargetMode="External" Target="https://www.legis.iowa.gov/docs/ico/chapter/86.14.pdf" Type="http://schemas.openxmlformats.org/officeDocument/2006/relationships/hyperlink" Id="rId6"/>
    <Relationship TargetMode="External" Target="https://www.legis.iowa.gov/docs/ico/chapter/85.27.pdf" Type="http://schemas.openxmlformats.org/officeDocument/2006/relationships/hyperlink" Id="rId7"/>
    <Relationship TargetMode="External" Target="https://www.legis.iowa.gov/docs/ico/chapter/85.28.pdf" Type="http://schemas.openxmlformats.org/officeDocument/2006/relationships/hyperlink" Id="rId8"/>
    <Relationship TargetMode="External" Target="https://www.legis.iowa.gov/docs/ico/chapter/85.29.pdf" Type="http://schemas.openxmlformats.org/officeDocument/2006/relationships/hyperlink" Id="rId9"/>
    <Relationship TargetMode="External" Target="https://www.legis.iowa.gov/docs/ico/chapter/85.31.pdf" Type="http://schemas.openxmlformats.org/officeDocument/2006/relationships/hyperlink" Id="rId10"/>
    <Relationship TargetMode="External" Target="https://www.legis.iowa.gov/docs/ico/chapter/85.42.pdf" Type="http://schemas.openxmlformats.org/officeDocument/2006/relationships/hyperlink" Id="rId11"/>
    <Relationship TargetMode="External" Target="https://www.legis.iowa.gov/docs/ico/chapter/85.43.pdf" Type="http://schemas.openxmlformats.org/officeDocument/2006/relationships/hyperlink" Id="rId12"/>
    <Relationship TargetMode="External" Target="https://www.legis.iowa.gov/docs/ico/chapter/85.44.pdf" Type="http://schemas.openxmlformats.org/officeDocument/2006/relationships/hyperlink" Id="rId13"/>
    <Relationship TargetMode="External" Target="https://www.legis.iowa.gov/docs/ico/chapter/85.43.pdf" Type="http://schemas.openxmlformats.org/officeDocument/2006/relationships/hyperlink" Id="rId14"/>
    <Relationship TargetMode="External" Target="https://www.legis.iowa.gov/docs/ico/chapter/85.63.pdf" Type="http://schemas.openxmlformats.org/officeDocument/2006/relationships/hyperlink" Id="rId15"/>
    <Relationship TargetMode="External" Target="https://www.legis.iowa.gov/docs/ico/chapter/85.70.pdf" Type="http://schemas.openxmlformats.org/officeDocument/2006/relationships/hyperlink" Id="rId16"/>
    <Relationship TargetMode="External" Target="https://www.legis.iowa.gov/docs/ico/chapter/85.70.pdf" Type="http://schemas.openxmlformats.org/officeDocument/2006/relationships/hyperlink" Id="rId17"/>
    <Relationship TargetMode="External" Target="https://www.legis.iowa.gov/docs/ico/chapter/86.39.pdf" Type="http://schemas.openxmlformats.org/officeDocument/2006/relationships/hyperlink" Id="rId18"/>
    <Relationship TargetMode="External" Target="https://www.legis.iowa.gov/docs/ico/chapter/85.45.pdf" Type="http://schemas.openxmlformats.org/officeDocument/2006/relationships/hyperlink" Id="rId19"/>
    <Relationship TargetMode="External" Target="https://www.legis.iowa.gov/docs/ico/chapter/85.39.pdf" Type="http://schemas.openxmlformats.org/officeDocument/2006/relationships/hyperlink" Id="rId20"/>
    <Relationship TargetMode="External" Target="https://www.legis.iowa.gov/docs/ico/chapter/85.pdf" Type="http://schemas.openxmlformats.org/officeDocument/2006/relationships/hyperlink" Id="rId21"/>
    <Relationship TargetMode="External" Target="https://www.legis.iowa.gov/docs/ico/chapter/85A.pdf" Type="http://schemas.openxmlformats.org/officeDocument/2006/relationships/hyperlink" Id="rId22"/>
    <Relationship TargetMode="External" Target="https://www.legis.iowa.gov/docs/ico/chapter/85B.pdf" Type="http://schemas.openxmlformats.org/officeDocument/2006/relationships/hyperlink" Id="rId23"/>
    <Relationship TargetMode="External" Target="https://www.legis.iowa.gov/docs/ico/chapter/86.pdf" Type="http://schemas.openxmlformats.org/officeDocument/2006/relationships/hyperlink" Id="rId24"/>
    <Relationship TargetMode="External" Target="https://www.legis.iowa.gov/docs/ico/chapter/87.pdf" Type="http://schemas.openxmlformats.org/officeDocument/2006/relationships/hyperlink" Id="rId25"/>
    <Relationship TargetMode="External" Target="https://www.legis.iowa.gov/docs/ico/chapter/85.27.pdf" Type="http://schemas.openxmlformats.org/officeDocument/2006/relationships/hyperlink" Id="rId26"/>
    <Relationship TargetMode="External" Target="https://www.legis.iowa.gov/docs/ico/chapter/85.21.pdf" Type="http://schemas.openxmlformats.org/officeDocument/2006/relationships/hyperlink" Id="rId27"/>
    <Relationship TargetMode="External" Target="https://www.legis.iowa.gov/docs/ico/chapter/85.30.pdf" Type="http://schemas.openxmlformats.org/officeDocument/2006/relationships/hyperlink" Id="rId28"/>
    <Relationship TargetMode="External" Target="https://www.legis.iowa.gov/docs/ico/chapter/86.13.pdf" Type="http://schemas.openxmlformats.org/officeDocument/2006/relationships/hyperlink" Id="rId29"/>
    <Relationship TargetMode="External" Target="https://www.legis.iowa.gov/docs/ico/chapter/85.22.pdf" Type="http://schemas.openxmlformats.org/officeDocument/2006/relationships/hyperlink" Id="rId30"/>
    <Relationship TargetMode="External" Target="https://www.legis.iowa.gov/docs/ico/chapter/17A.2.pdf" Type="http://schemas.openxmlformats.org/officeDocument/2006/relationships/hyperlink" Id="rId31"/>
    <Relationship TargetMode="External" Target="https://www.legis.iowa.gov/docs/ico/chapter/86.8.pdf" Type="http://schemas.openxmlformats.org/officeDocument/2006/relationships/hyperlink" Id="rId32"/>
    <Relationship TargetMode="External" Target="https://www.legis.iowa.gov/docs/ico/chapter/86.13.pdf" Type="http://schemas.openxmlformats.org/officeDocument/2006/relationships/hyperlink" Id="rId33"/>
    <Relationship TargetMode="External" Target="https://www.legis.iowa.gov/docs/ico/chapter/86.13.pdf" Type="http://schemas.openxmlformats.org/officeDocument/2006/relationships/hyperlink" Id="rId34"/>
    <Relationship TargetMode="External" Target="https://www.legis.iowa.gov/docs/ico/chapter/86.18.pdf" Type="http://schemas.openxmlformats.org/officeDocument/2006/relationships/hyperlink" Id="rId35"/>
    <Relationship TargetMode="External" Target="https://www.legis.iowa.gov/docs/ico/chapter/86.24.pdf" Type="http://schemas.openxmlformats.org/officeDocument/2006/relationships/hyperlink" Id="rId36"/>
    <Relationship TargetMode="External" Target="https://www.legis.iowa.gov/docs/ico/chapter/87.10.pdf" Type="http://schemas.openxmlformats.org/officeDocument/2006/relationships/hyperlink" Id="rId37"/>
    <Relationship TargetMode="External" Target="https://www.legis.iowa.gov/docs/ico/chapter/86.12.pdf" Type="http://schemas.openxmlformats.org/officeDocument/2006/relationships/hyperlink" Id="rId38"/>
    <Relationship TargetMode="External" Target="https://www.legis.iowa.gov/docs/ico/chapter/86.13.pdf" Type="http://schemas.openxmlformats.org/officeDocument/2006/relationships/hyperlink" Id="rId39"/>
    <Relationship TargetMode="External" Target="https://www.legis.iowa.gov/docs/ico/chapter/86.13A.pdf" Type="http://schemas.openxmlformats.org/officeDocument/2006/relationships/hyperlink" Id="rId40"/>
    <Relationship TargetMode="External" Target="https://www.legis.iowa.gov/docs/ico/chapter/85.pdf" Type="http://schemas.openxmlformats.org/officeDocument/2006/relationships/hyperlink" Id="rId41"/>
    <Relationship TargetMode="External" Target="https://www.legis.iowa.gov/docs/ico/chapter/85A.pdf" Type="http://schemas.openxmlformats.org/officeDocument/2006/relationships/hyperlink" Id="rId42"/>
    <Relationship TargetMode="External" Target="https://www.legis.iowa.gov/docs/ico/chapter/86.pdf" Type="http://schemas.openxmlformats.org/officeDocument/2006/relationships/hyperlink" Id="rId43"/>
    <Relationship TargetMode="External" Target="https://www.legis.iowa.gov/docs/ico/chapter/87.pdf" Type="http://schemas.openxmlformats.org/officeDocument/2006/relationships/hyperlink" Id="rId44"/>
    <Relationship TargetMode="External" Target="https://www.legis.iowa.gov/docs/iac/rule/876.4.1.pdf" Type="http://schemas.openxmlformats.org/officeDocument/2006/relationships/hyperlink" Id="rId45"/>
    <Relationship TargetMode="External" Target="https://www.legis.iowa.gov/docs/iac/rule/876.4.1.pdf" Type="http://schemas.openxmlformats.org/officeDocument/2006/relationships/hyperlink" Id="rId46"/>
    <Relationship TargetMode="External" Target="https://www.legis.iowa.gov/docs/ico/chapter/86.pdf" Type="http://schemas.openxmlformats.org/officeDocument/2006/relationships/hyperlink" Id="rId47"/>
    <Relationship TargetMode="External" Target="https://www.legis.iowa.gov/docs/iac/rule/876.4.1.pdf" Type="http://schemas.openxmlformats.org/officeDocument/2006/relationships/hyperlink" Id="rId48"/>
    <Relationship TargetMode="External" Target="https://www.legis.iowa.gov/docs/iac/rule/876.4.1.pdf" Type="http://schemas.openxmlformats.org/officeDocument/2006/relationships/hyperlink" Id="rId49"/>
    <Relationship TargetMode="External" Target="https://www.legis.iowa.gov/docs/ico/chapter/86.pdf" Type="http://schemas.openxmlformats.org/officeDocument/2006/relationships/hyperlink" Id="rId50"/>
    <Relationship TargetMode="External" Target="https://www.legis.iowa.gov/docs/ico/chapter/17A.12.pdf" Type="http://schemas.openxmlformats.org/officeDocument/2006/relationships/hyperlink" Id="rId51"/>
    <Relationship TargetMode="External" Target="https://www.legis.iowa.gov/docs/iac/rule/876.4.1.pdf" Type="http://schemas.openxmlformats.org/officeDocument/2006/relationships/hyperlink" Id="rId52"/>
    <Relationship TargetMode="External" Target="https://www.legis.iowa.gov/docs/iac/rule/876.4.1.pdf" Type="http://schemas.openxmlformats.org/officeDocument/2006/relationships/hyperlink" Id="rId53"/>
    <Relationship TargetMode="External" Target="https://www.legis.iowa.gov/docs/iac/rule/876.4.1.pdf" Type="http://schemas.openxmlformats.org/officeDocument/2006/relationships/hyperlink" Id="rId54"/>
    <Relationship TargetMode="External" Target="https://www.legis.iowa.gov/docs/iac/rule/876.4.48.pdf" Type="http://schemas.openxmlformats.org/officeDocument/2006/relationships/hyperlink" Id="rId55"/>
    <Relationship TargetMode="External" Target="https://www.legis.iowa.gov/docs/ico/chapter/85.21.pdf" Type="http://schemas.openxmlformats.org/officeDocument/2006/relationships/hyperlink" Id="rId56"/>
    <Relationship TargetMode="External" Target="https://www.legis.iowa.gov/docs/ico/chapter/85.21.pdf" Type="http://schemas.openxmlformats.org/officeDocument/2006/relationships/hyperlink" Id="rId57"/>
    <Relationship TargetMode="External" Target="https://www.legis.iowa.gov/docs/ico/chapter/85.27.pdf" Type="http://schemas.openxmlformats.org/officeDocument/2006/relationships/hyperlink" Id="rId58"/>
    <Relationship TargetMode="External" Target="https://www.legis.iowa.gov/docs/ico/chapter/85.45.pdf" Type="http://schemas.openxmlformats.org/officeDocument/2006/relationships/hyperlink" Id="rId59"/>
    <Relationship TargetMode="External" Target="https://www.legis.iowa.gov/docs/ico/chapter/85.48.pdf" Type="http://schemas.openxmlformats.org/officeDocument/2006/relationships/hyperlink" Id="rId60"/>
    <Relationship TargetMode="External" Target="https://www.legis.iowa.gov/docs/ico/chapter/17A.12.pdf" Type="http://schemas.openxmlformats.org/officeDocument/2006/relationships/hyperlink" Id="rId61"/>
    <Relationship TargetMode="External" Target="https://www.legis.iowa.gov/docs/ico/chapter/17A.12.pdf" Type="http://schemas.openxmlformats.org/officeDocument/2006/relationships/hyperlink" Id="rId62"/>
    <Relationship TargetMode="External" Target="https://www.legis.iowa.gov/docs/ico/chapter/85.3.pdf" Type="http://schemas.openxmlformats.org/officeDocument/2006/relationships/hyperlink" Id="rId63"/>
    <Relationship TargetMode="External" Target="https://www.legis.iowa.gov/docs/ico/chapter/85.3.pdf" Type="http://schemas.openxmlformats.org/officeDocument/2006/relationships/hyperlink" Id="rId64"/>
    <Relationship TargetMode="External" Target="https://www.legis.iowa.gov/docs/ico/chapter/17A.12.pdf" Type="http://schemas.openxmlformats.org/officeDocument/2006/relationships/hyperlink" Id="rId65"/>
    <Relationship TargetMode="External" Target="https://www.legis.iowa.gov/docs/iac/rule/876.4.6.pdf" Type="http://schemas.openxmlformats.org/officeDocument/2006/relationships/hyperlink" Id="rId66"/>
    <Relationship TargetMode="External" Target="https://www.legis.iowa.gov/docs/ico/chapter/85.27.pdf" Type="http://schemas.openxmlformats.org/officeDocument/2006/relationships/hyperlink" Id="rId67"/>
    <Relationship TargetMode="External" Target="https://www.legis.iowa.gov/docs/ico/chapter/85.28.pdf" Type="http://schemas.openxmlformats.org/officeDocument/2006/relationships/hyperlink" Id="rId68"/>
    <Relationship TargetMode="External" Target="https://www.legis.iowa.gov/docs/ico/chapter/85.42.pdf" Type="http://schemas.openxmlformats.org/officeDocument/2006/relationships/hyperlink" Id="rId69"/>
    <Relationship TargetMode="External" Target="https://www.legis.iowa.gov/docs/ico/chapter/85.43.pdf" Type="http://schemas.openxmlformats.org/officeDocument/2006/relationships/hyperlink" Id="rId70"/>
    <Relationship TargetMode="External" Target="https://www.legis.iowa.gov/docs/ico/chapter/85.44.pdf" Type="http://schemas.openxmlformats.org/officeDocument/2006/relationships/hyperlink" Id="rId71"/>
    <Relationship TargetMode="External" Target="https://www.legis.iowa.gov/docs/ico/chapter/85.43.pdf" Type="http://schemas.openxmlformats.org/officeDocument/2006/relationships/hyperlink" Id="rId72"/>
    <Relationship TargetMode="External" Target="https://www.legis.iowa.gov/docs/ico/chapter/85.63-69.pdf" Type="http://schemas.openxmlformats.org/officeDocument/2006/relationships/hyperlink" Id="rId73"/>
    <Relationship TargetMode="External" Target="https://www.legis.iowa.gov/docs/ico/chapter/85.70.pdf" Type="http://schemas.openxmlformats.org/officeDocument/2006/relationships/hyperlink" Id="rId74"/>
    <Relationship TargetMode="External" Target="https://www.legis.iowa.gov/docs/ico/chapter/85.70.pdf" Type="http://schemas.openxmlformats.org/officeDocument/2006/relationships/hyperlink" Id="rId75"/>
    <Relationship TargetMode="External" Target="https://www.legis.iowa.gov/docs/ico/chapter/86.39.pdf" Type="http://schemas.openxmlformats.org/officeDocument/2006/relationships/hyperlink" Id="rId76"/>
    <Relationship TargetMode="External" Target="https://www.legis.iowa.gov/docs/ico/chapter/85.45-48.pdf" Type="http://schemas.openxmlformats.org/officeDocument/2006/relationships/hyperlink" Id="rId77"/>
    <Relationship TargetMode="External" Target="https://www.legis.iowa.gov/docs/ico/chapter/85.39.pdf" Type="http://schemas.openxmlformats.org/officeDocument/2006/relationships/hyperlink" Id="rId78"/>
    <Relationship TargetMode="External" Target="https://www.legis.iowa.gov/docs/ico/chapter/85.39.pdf" Type="http://schemas.openxmlformats.org/officeDocument/2006/relationships/hyperlink" Id="rId79"/>
    <Relationship TargetMode="External" Target="https://www.legis.iowa.gov/docs/ico/chapter/85.27.pdf" Type="http://schemas.openxmlformats.org/officeDocument/2006/relationships/hyperlink" Id="rId80"/>
    <Relationship TargetMode="External" Target="https://www.legis.iowa.gov/docs/ico/chapter/85.21.pdf" Type="http://schemas.openxmlformats.org/officeDocument/2006/relationships/hyperlink" Id="rId81"/>
    <Relationship TargetMode="External" Target="https://www.legis.iowa.gov/docs/ico/chapter/85.30.pdf" Type="http://schemas.openxmlformats.org/officeDocument/2006/relationships/hyperlink" Id="rId82"/>
    <Relationship TargetMode="External" Target="https://www.legis.iowa.gov/docs/ico/chapter/86.13.pdf" Type="http://schemas.openxmlformats.org/officeDocument/2006/relationships/hyperlink" Id="rId83"/>
    <Relationship TargetMode="External" Target="https://www.legis.iowa.gov/docs/ico/chapter/85.22.pdf" Type="http://schemas.openxmlformats.org/officeDocument/2006/relationships/hyperlink" Id="rId84"/>
    <Relationship TargetMode="External" Target="https://www.legis.iowa.gov/docs/iac/chapter/876.5.pdf" Type="http://schemas.openxmlformats.org/officeDocument/2006/relationships/hyperlink" Id="rId85"/>
    <Relationship TargetMode="External" Target="https://www.legis.iowa.gov/docs/iac/rule/876.4.8.pdf" Type="http://schemas.openxmlformats.org/officeDocument/2006/relationships/hyperlink" Id="rId86"/>
    <Relationship TargetMode="External" Target="https://www.legis.iowa.gov/docs/iac/rule/876.4.33.pdf" Type="http://schemas.openxmlformats.org/officeDocument/2006/relationships/hyperlink" Id="rId87"/>
    <Relationship TargetMode="External" Target="https://www.legis.iowa.gov/docs/iac/rule/876.4.8.pdf" Type="http://schemas.openxmlformats.org/officeDocument/2006/relationships/hyperlink" Id="rId88"/>
    <Relationship TargetMode="External" Target="https://www.legis.iowa.gov/docs/iac/rule/876.4.8.pdf" Type="http://schemas.openxmlformats.org/officeDocument/2006/relationships/hyperlink" Id="rId89"/>
    <Relationship TargetMode="External" Target="https://www.legis.iowa.gov/docs/iac/rule/876.4.33.pdf" Type="http://schemas.openxmlformats.org/officeDocument/2006/relationships/hyperlink" Id="rId90"/>
    <Relationship TargetMode="External" Target="https://www.legis.iowa.gov/docs/ico/chapter/17A.12.pdf" Type="http://schemas.openxmlformats.org/officeDocument/2006/relationships/hyperlink" Id="rId91"/>
    <Relationship TargetMode="External" Target="http://www.iowaworkcomp.gov/efile" Type="http://schemas.openxmlformats.org/officeDocument/2006/relationships/hyperlink" Id="rId92"/>
    <Relationship TargetMode="External" Target="https://www.legis.iowa.gov/docs/ico/chapter/17A.12.pdf" Type="http://schemas.openxmlformats.org/officeDocument/2006/relationships/hyperlink" Id="rId93"/>
    <Relationship TargetMode="External" Target="https://www.legis.iowa.gov/docs/ico/chapter/87.10.pdf" Type="http://schemas.openxmlformats.org/officeDocument/2006/relationships/hyperlink" Id="rId94"/>
    <Relationship TargetMode="External" Target="https://www.legis.iowa.gov/docs/ico/chapter/17A.12.pdf" Type="http://schemas.openxmlformats.org/officeDocument/2006/relationships/hyperlink" Id="rId95"/>
    <Relationship TargetMode="External" Target="https://www.legis.iowa.gov/docs/iac/rule/876.4.6.pdf" Type="http://schemas.openxmlformats.org/officeDocument/2006/relationships/hyperlink" Id="rId96"/>
    <Relationship TargetMode="External" Target="https://www.legis.iowa.gov/docs/iac/rule/876.4.7.pdf" Type="http://schemas.openxmlformats.org/officeDocument/2006/relationships/hyperlink" Id="rId97"/>
    <Relationship TargetMode="External" Target="https://www.legis.iowa.gov/docs/iac/rule/876.4.13.pdf" Type="http://schemas.openxmlformats.org/officeDocument/2006/relationships/hyperlink" Id="rId98"/>
    <Relationship TargetMode="External" Target="https://www.legis.iowa.gov/docs/ico/chapter/17A.12.pdf" Type="http://schemas.openxmlformats.org/officeDocument/2006/relationships/hyperlink" Id="rId99"/>
    <Relationship TargetMode="External" Target="https://www.legis.iowa.gov/docs/ico/chapter/86.18.pdf" Type="http://schemas.openxmlformats.org/officeDocument/2006/relationships/hyperlink" Id="rId100"/>
    <Relationship TargetMode="External" Target="https://www.legis.iowa.gov/docs/iac/rule/876.4.6.pdf" Type="http://schemas.openxmlformats.org/officeDocument/2006/relationships/hyperlink" Id="rId101"/>
    <Relationship TargetMode="External" Target="https://www.legis.iowa.gov/docs/iac/rule/876.4.7.pdf" Type="http://schemas.openxmlformats.org/officeDocument/2006/relationships/hyperlink" Id="rId102"/>
    <Relationship TargetMode="External" Target="https://www.legis.iowa.gov/docs/iac/rule/876.4.14.pdf" Type="http://schemas.openxmlformats.org/officeDocument/2006/relationships/hyperlink" Id="rId103"/>
    <Relationship TargetMode="External" Target="https://www.legis.iowa.gov/docs/iac/rule/876.4.18.pdf" Type="http://schemas.openxmlformats.org/officeDocument/2006/relationships/hyperlink" Id="rId104"/>
    <Relationship TargetMode="External" Target="https://www.legis.iowa.gov/docs/ico/chapter/17A.12.pdf" Type="http://schemas.openxmlformats.org/officeDocument/2006/relationships/hyperlink" Id="rId105"/>
    <Relationship TargetMode="External" Target="https://www.legis.iowa.gov/docs/ico/chapter/86.18.pdf" Type="http://schemas.openxmlformats.org/officeDocument/2006/relationships/hyperlink" Id="rId106"/>
    <Relationship TargetMode="External" Target="https://www.legis.iowa.gov/docs/iac/rule/876.4.12.pdf" Type="http://schemas.openxmlformats.org/officeDocument/2006/relationships/hyperlink" Id="rId107"/>
    <Relationship TargetMode="External" Target="https://www.legis.iowa.gov/docs/iac/rule/876.4.17.pdf" Type="http://schemas.openxmlformats.org/officeDocument/2006/relationships/hyperlink" Id="rId108"/>
    <Relationship TargetMode="External" Target="https://www.legis.iowa.gov/docs/ico/chapter/86.18.pdf" Type="http://schemas.openxmlformats.org/officeDocument/2006/relationships/hyperlink" Id="rId109"/>
    <Relationship TargetMode="External" Target="https://www.legis.iowa.gov/docs/iac/rule/876.4.12.pdf" Type="http://schemas.openxmlformats.org/officeDocument/2006/relationships/hyperlink" Id="rId110"/>
    <Relationship TargetMode="External" Target="https://www.legis.iowa.gov/docs/ico/chapter/86.18.pdf" Type="http://schemas.openxmlformats.org/officeDocument/2006/relationships/hyperlink" Id="rId111"/>
    <Relationship TargetMode="External" Target="https://www.legis.iowa.gov/docs/iac/rule/876.4.14.pdf" Type="http://schemas.openxmlformats.org/officeDocument/2006/relationships/hyperlink" Id="rId112"/>
    <Relationship TargetMode="External" Target="https://www.legis.iowa.gov/docs/iac/rule/876.4.36.pdf" Type="http://schemas.openxmlformats.org/officeDocument/2006/relationships/hyperlink" Id="rId113"/>
    <Relationship TargetMode="External" Target="https://www.legis.iowa.gov/docs/ico/chapter/86.8.pdf" Type="http://schemas.openxmlformats.org/officeDocument/2006/relationships/hyperlink" Id="rId114"/>
    <Relationship TargetMode="External" Target="https://www.legis.iowa.gov/docs/ico/chapter/86.18.pdf" Type="http://schemas.openxmlformats.org/officeDocument/2006/relationships/hyperlink" Id="rId115"/>
    <Relationship TargetMode="External" Target="https://www.legis.iowa.gov/docs/iac/rule/876.4.35.pdf" Type="http://schemas.openxmlformats.org/officeDocument/2006/relationships/hyperlink" Id="rId116"/>
    <Relationship TargetMode="External" Target="https://www.legis.iowa.gov/docs/ico/chapter/86.8.pdf" Type="http://schemas.openxmlformats.org/officeDocument/2006/relationships/hyperlink" Id="rId117"/>
    <Relationship TargetMode="External" Target="https://www.legis.iowa.gov/docs/ico/chapter/86.18.pdf" Type="http://schemas.openxmlformats.org/officeDocument/2006/relationships/hyperlink" Id="rId118"/>
    <Relationship TargetMode="External" Target="https://www.legis.iowa.gov/docs/iac/rule/876.4.46.pdf" Type="http://schemas.openxmlformats.org/officeDocument/2006/relationships/hyperlink" Id="rId119"/>
    <Relationship TargetMode="External" Target="https://www.legis.iowa.gov/docs/iac/rule/876.4.48.pdf" Type="http://schemas.openxmlformats.org/officeDocument/2006/relationships/hyperlink" Id="rId120"/>
    <Relationship TargetMode="External" Target="mailto:dwc.hearing@iwd.state.ia.us" Type="http://schemas.openxmlformats.org/officeDocument/2006/relationships/hyperlink" Id="rId121"/>
    <Relationship TargetMode="External" Target="https://www.legis.iowa.gov/docs/ico/chapter/85.39.pdf" Type="http://schemas.openxmlformats.org/officeDocument/2006/relationships/hyperlink" Id="rId122"/>
    <Relationship TargetMode="External" Target="https://www.legis.iowa.gov/docs/iac/rule/876.1.503.pdf" Type="http://schemas.openxmlformats.org/officeDocument/2006/relationships/hyperlink" Id="rId123"/>
    <Relationship TargetMode="External" Target="https://www.legis.iowa.gov/docs/iac/rule/876.1.508.pdf" Type="http://schemas.openxmlformats.org/officeDocument/2006/relationships/hyperlink" Id="rId124"/>
    <Relationship TargetMode="External" Target="https://www.legis.iowa.gov/docs/ico/chapter/86.18.pdf" Type="http://schemas.openxmlformats.org/officeDocument/2006/relationships/hyperlink" Id="rId125"/>
    <Relationship TargetMode="External" Target="https://www.legis.iowa.gov/docs/iac/rule/876.4.36.pdf" Type="http://schemas.openxmlformats.org/officeDocument/2006/relationships/hyperlink" Id="rId126"/>
    <Relationship TargetMode="External" Target="https://www.legis.iowa.gov/docs/ico/chapter/86.pdf" Type="http://schemas.openxmlformats.org/officeDocument/2006/relationships/hyperlink" Id="rId127"/>
    <Relationship TargetMode="External" Target="https://www.legis.iowa.gov/docs/ico/chapter/86.17.pdf" Type="http://schemas.openxmlformats.org/officeDocument/2006/relationships/hyperlink" Id="rId128"/>
    <Relationship TargetMode="External" Target="https://www.legis.iowa.gov/docs/ico/chapter/86.18.pdf" Type="http://schemas.openxmlformats.org/officeDocument/2006/relationships/hyperlink" Id="rId129"/>
    <Relationship TargetMode="External" Target="https://www.legis.iowa.gov/docs/ico/chapter/86.17.pdf" Type="http://schemas.openxmlformats.org/officeDocument/2006/relationships/hyperlink" Id="rId130"/>
    <Relationship TargetMode="External" Target="https://www.legis.iowa.gov/docs/ico/chapter/86.18.pdf" Type="http://schemas.openxmlformats.org/officeDocument/2006/relationships/hyperlink" Id="rId131"/>
    <Relationship TargetMode="External" Target="https://www.legis.iowa.gov/docs/ico/chapter/86.17.pdf" Type="http://schemas.openxmlformats.org/officeDocument/2006/relationships/hyperlink" Id="rId132"/>
    <Relationship TargetMode="External" Target="https://www.legis.iowa.gov/docs/ico/chapter/86.18.pdf" Type="http://schemas.openxmlformats.org/officeDocument/2006/relationships/hyperlink" Id="rId133"/>
    <Relationship TargetMode="External" Target="https://www.legis.iowa.gov/docs/ico/chapter/86.8.pdf" Type="http://schemas.openxmlformats.org/officeDocument/2006/relationships/hyperlink" Id="rId134"/>
    <Relationship TargetMode="External" Target="https://www.legis.iowa.gov/docs/ico/chapter/86.18.pdf" Type="http://schemas.openxmlformats.org/officeDocument/2006/relationships/hyperlink" Id="rId135"/>
    <Relationship TargetMode="External" Target="https://www.legis.iowa.gov/docs/ico/chapter/17A.pdf" Type="http://schemas.openxmlformats.org/officeDocument/2006/relationships/hyperlink" Id="rId136"/>
    <Relationship TargetMode="External" Target="https://www.legis.iowa.gov/docs/ico/chapter/85.pdf" Type="http://schemas.openxmlformats.org/officeDocument/2006/relationships/hyperlink" Id="rId137"/>
    <Relationship TargetMode="External" Target="https://www.legis.iowa.gov/docs/ico/chapter/85A.pdf" Type="http://schemas.openxmlformats.org/officeDocument/2006/relationships/hyperlink" Id="rId138"/>
    <Relationship TargetMode="External" Target="https://www.legis.iowa.gov/docs/ico/chapter/85B.pdf" Type="http://schemas.openxmlformats.org/officeDocument/2006/relationships/hyperlink" Id="rId139"/>
    <Relationship TargetMode="External" Target="https://www.legis.iowa.gov/docs/ico/chapter/86.pdf" Type="http://schemas.openxmlformats.org/officeDocument/2006/relationships/hyperlink" Id="rId140"/>
    <Relationship TargetMode="External" Target="https://www.legis.iowa.gov/docs/iac/rule/876.4.24.pdf" Type="http://schemas.openxmlformats.org/officeDocument/2006/relationships/hyperlink" Id="rId141"/>
    <Relationship TargetMode="External" Target="https://www.legis.iowa.gov/docs/ico/chapter/17A.15.pdf" Type="http://schemas.openxmlformats.org/officeDocument/2006/relationships/hyperlink" Id="rId142"/>
    <Relationship TargetMode="External" Target="https://www.legis.iowa.gov/docs/ico/chapter/17A.16.pdf" Type="http://schemas.openxmlformats.org/officeDocument/2006/relationships/hyperlink" Id="rId143"/>
    <Relationship TargetMode="External" Target="https://www.legis.iowa.gov/docs/ico/chapter/86.24.pdf" Type="http://schemas.openxmlformats.org/officeDocument/2006/relationships/hyperlink" Id="rId144"/>
    <Relationship TargetMode="External" Target="https://www.legis.iowa.gov/docs/iac/rule/876.4.2.pdf" Type="http://schemas.openxmlformats.org/officeDocument/2006/relationships/hyperlink" Id="rId145"/>
    <Relationship TargetMode="External" Target="https://www.legis.iowa.gov/docs/iac/rule/876.4.25.pdf" Type="http://schemas.openxmlformats.org/officeDocument/2006/relationships/hyperlink" Id="rId146"/>
    <Relationship TargetMode="External" Target="https://www.legis.iowa.gov/docs/iac/rule/876.4.13.pdf" Type="http://schemas.openxmlformats.org/officeDocument/2006/relationships/hyperlink" Id="rId147"/>
    <Relationship TargetMode="External" Target="https://www.legis.iowa.gov/docs/ico/chapter/86.13.pdf" Type="http://schemas.openxmlformats.org/officeDocument/2006/relationships/hyperlink" Id="rId148"/>
    <Relationship TargetMode="External" Target="https://www.legis.iowa.gov/docs/ico/chapter/85.33.pdf" Type="http://schemas.openxmlformats.org/officeDocument/2006/relationships/hyperlink" Id="rId149"/>
    <Relationship TargetMode="External" Target="https://www.legis.iowa.gov/docs/ico/chapter/85.34.pdf" Type="http://schemas.openxmlformats.org/officeDocument/2006/relationships/hyperlink" Id="rId150"/>
    <Relationship TargetMode="External" Target="https://www.legis.iowa.gov/docs/iac/rule/876.4.25.pdf" Type="http://schemas.openxmlformats.org/officeDocument/2006/relationships/hyperlink" Id="rId151"/>
    <Relationship TargetMode="External" Target="https://www.legis.iowa.gov/docs/ico/chapter/17A.15.pdf" Type="http://schemas.openxmlformats.org/officeDocument/2006/relationships/hyperlink" Id="rId152"/>
    <Relationship TargetMode="External" Target="https://www.legis.iowa.gov/docs/ico/chapter/86.24.pdf" Type="http://schemas.openxmlformats.org/officeDocument/2006/relationships/hyperlink" Id="rId153"/>
    <Relationship TargetMode="External" Target="https://www.legis.iowa.gov/docs/iac/rule/876.4.45.pdf" Type="http://schemas.openxmlformats.org/officeDocument/2006/relationships/hyperlink" Id="rId154"/>
    <Relationship TargetMode="External" Target="https://www.legis.iowa.gov/docs/iac/rule/876.4.29.pdf" Type="http://schemas.openxmlformats.org/officeDocument/2006/relationships/hyperlink" Id="rId155"/>
    <Relationship TargetMode="External" Target="https://www.legis.iowa.gov/docs/ico/chapter/86.24.pdf" Type="http://schemas.openxmlformats.org/officeDocument/2006/relationships/hyperlink" Id="rId156"/>
    <Relationship TargetMode="External" Target="https://www.legis.iowa.gov/docs/iac/rule/876.4.25.pdf" Type="http://schemas.openxmlformats.org/officeDocument/2006/relationships/hyperlink" Id="rId157"/>
    <Relationship TargetMode="External" Target="https://www.legis.iowa.gov/docs/iac/rule/876.4.25.pdf" Type="http://schemas.openxmlformats.org/officeDocument/2006/relationships/hyperlink" Id="rId158"/>
    <Relationship TargetMode="External" Target="https://www.legis.iowa.gov/docs/ico/chapter/17A.15.pdf" Type="http://schemas.openxmlformats.org/officeDocument/2006/relationships/hyperlink" Id="rId159"/>
    <Relationship TargetMode="External" Target="https://www.legis.iowa.gov/docs/ico/chapter/86.24.pdf" Type="http://schemas.openxmlformats.org/officeDocument/2006/relationships/hyperlink" Id="rId160"/>
    <Relationship TargetMode="External" Target="https://www.legis.iowa.gov/docs/iac/rule/876.4.27.pdf" Type="http://schemas.openxmlformats.org/officeDocument/2006/relationships/hyperlink" Id="rId161"/>
    <Relationship TargetMode="External" Target="https://www.legis.iowa.gov/docs/iac/rule/876.4.29.pdf" Type="http://schemas.openxmlformats.org/officeDocument/2006/relationships/hyperlink" Id="rId162"/>
    <Relationship TargetMode="External" Target="https://www.legis.iowa.gov/docs/ico/chapter/17A.12.pdf" Type="http://schemas.openxmlformats.org/officeDocument/2006/relationships/hyperlink" Id="rId163"/>
    <Relationship TargetMode="External" Target="https://www.legis.iowa.gov/docs/ico/chapter/17A.15.pdf" Type="http://schemas.openxmlformats.org/officeDocument/2006/relationships/hyperlink" Id="rId164"/>
    <Relationship TargetMode="External" Target="https://www.legis.iowa.gov/docs/ico/chapter/86.19.pdf" Type="http://schemas.openxmlformats.org/officeDocument/2006/relationships/hyperlink" Id="rId165"/>
    <Relationship TargetMode="External" Target="https://www.legis.iowa.gov/docs/ico/chapter/86.24.pdf" Type="http://schemas.openxmlformats.org/officeDocument/2006/relationships/hyperlink" Id="rId166"/>
    <Relationship TargetMode="External" Target="https://www.legis.iowa.gov/docs/ico/chapter/86.40.pdf" Type="http://schemas.openxmlformats.org/officeDocument/2006/relationships/hyperlink" Id="rId167"/>
    <Relationship TargetMode="External" Target="https://www.legis.iowa.gov/docs/ico/chapter/86.18.pdf" Type="http://schemas.openxmlformats.org/officeDocument/2006/relationships/hyperlink" Id="rId168"/>
    <Relationship TargetMode="External" Target="https://www.legis.iowa.gov/docs/ico/chapter/86.19.pdf" Type="http://schemas.openxmlformats.org/officeDocument/2006/relationships/hyperlink" Id="rId169"/>
    <Relationship TargetMode="External" Target="https://www.legis.iowa.gov/docs/ico/chapter/622.69.pdf" Type="http://schemas.openxmlformats.org/officeDocument/2006/relationships/hyperlink" Id="rId170"/>
    <Relationship TargetMode="External" Target="https://www.legis.iowa.gov/docs/ico/chapter/622.72.pdf" Type="http://schemas.openxmlformats.org/officeDocument/2006/relationships/hyperlink" Id="rId171"/>
    <Relationship TargetMode="External" Target="https://www.legis.iowa.gov/docs/ico/chapter/622.69.pdf" Type="http://schemas.openxmlformats.org/officeDocument/2006/relationships/hyperlink" Id="rId172"/>
    <Relationship TargetMode="External" Target="https://www.legis.iowa.gov/docs/ico/chapter/622.72.pdf" Type="http://schemas.openxmlformats.org/officeDocument/2006/relationships/hyperlink" Id="rId173"/>
    <Relationship TargetMode="External" Target="https://www.legis.iowa.gov/docs/ico/chapter/622.74.pdf" Type="http://schemas.openxmlformats.org/officeDocument/2006/relationships/hyperlink" Id="rId174"/>
    <Relationship TargetMode="External" Target="https://www.legis.iowa.gov/docs/ico/chapter/86.40.pdf" Type="http://schemas.openxmlformats.org/officeDocument/2006/relationships/hyperlink" Id="rId175"/>
    <Relationship TargetMode="External" Target="https://www.legis.iowa.gov/docs/iac/rule/876.4.34.pdf" Type="http://schemas.openxmlformats.org/officeDocument/2006/relationships/hyperlink" Id="rId176"/>
    <Relationship TargetMode="External" Target="https://www.legis.iowa.gov/docs/iac/rule/876.4.34.pdf" Type="http://schemas.openxmlformats.org/officeDocument/2006/relationships/hyperlink" Id="rId177"/>
    <Relationship TargetMode="External" Target="https://www.legis.iowa.gov/docs/ico/chapter/86.8.pdf" Type="http://schemas.openxmlformats.org/officeDocument/2006/relationships/hyperlink" Id="rId178"/>
    <Relationship TargetMode="External" Target="https://www.legis.iowa.gov/docs/ico/chapter/17A.3.pdf" Type="http://schemas.openxmlformats.org/officeDocument/2006/relationships/hyperlink" Id="rId179"/>
    <Relationship TargetMode="External" Target="https://www.legis.iowa.gov/docs/ico/chapter/86.18.pdf" Type="http://schemas.openxmlformats.org/officeDocument/2006/relationships/hyperlink" Id="rId180"/>
    <Relationship TargetMode="External" Target="https://www.legis.iowa.gov/docs/ico/chapter/85.pdf" Type="http://schemas.openxmlformats.org/officeDocument/2006/relationships/hyperlink" Id="rId181"/>
    <Relationship TargetMode="External" Target="https://www.legis.iowa.gov/docs/ico/chapter/85A.pdf" Type="http://schemas.openxmlformats.org/officeDocument/2006/relationships/hyperlink" Id="rId182"/>
    <Relationship TargetMode="External" Target="https://www.legis.iowa.gov/docs/ico/chapter/85B.pdf" Type="http://schemas.openxmlformats.org/officeDocument/2006/relationships/hyperlink" Id="rId183"/>
    <Relationship TargetMode="External" Target="https://www.legis.iowa.gov/docs/ico/chapter/86.pdf" Type="http://schemas.openxmlformats.org/officeDocument/2006/relationships/hyperlink" Id="rId184"/>
    <Relationship TargetMode="External" Target="https://www.legis.iowa.gov/docs/ico/chapter/87.pdf" Type="http://schemas.openxmlformats.org/officeDocument/2006/relationships/hyperlink" Id="rId185"/>
    <Relationship TargetMode="External" Target="https://www.legis.iowa.gov/docs/ico/chapter/17A.pdf" Type="http://schemas.openxmlformats.org/officeDocument/2006/relationships/hyperlink" Id="rId186"/>
    <Relationship TargetMode="External" Target="https://www.legis.iowa.gov/docs/ico/chapter/17A.1.pdf" Type="http://schemas.openxmlformats.org/officeDocument/2006/relationships/hyperlink" Id="rId187"/>
    <Relationship TargetMode="External" Target="https://www.legis.iowa.gov/docs/ico/chapter/17A.12.pdf" Type="http://schemas.openxmlformats.org/officeDocument/2006/relationships/hyperlink" Id="rId188"/>
    <Relationship TargetMode="External" Target="https://www.legis.iowa.gov/docs/ico/chapter/17A.13.pdf" Type="http://schemas.openxmlformats.org/officeDocument/2006/relationships/hyperlink" Id="rId189"/>
    <Relationship TargetMode="External" Target="https://www.legis.iowa.gov/docs/ico/chapter/17A.14.pdf" Type="http://schemas.openxmlformats.org/officeDocument/2006/relationships/hyperlink" Id="rId190"/>
    <Relationship TargetMode="External" Target="https://www.legis.iowa.gov/docs/ico/chapter/86.8.pdf" Type="http://schemas.openxmlformats.org/officeDocument/2006/relationships/hyperlink" Id="rId191"/>
    <Relationship TargetMode="External" Target="https://www.legis.iowa.gov/docs/ico/chapter/86.8.pdf" Type="http://schemas.openxmlformats.org/officeDocument/2006/relationships/hyperlink" Id="rId192"/>
    <Relationship TargetMode="External" Target="https://www.legis.iowa.gov/docs/ico/chapter/17A.pdf" Type="http://schemas.openxmlformats.org/officeDocument/2006/relationships/hyperlink" Id="rId193"/>
    <Relationship TargetMode="External" Target="https://www.legis.iowa.gov/docs/ico/chapter/17A.10.pdf" Type="http://schemas.openxmlformats.org/officeDocument/2006/relationships/hyperlink" Id="rId194"/>
    <Relationship TargetMode="External" Target="https://www.legis.iowa.gov/docs/ico/chapter/17A.17.pdf" Type="http://schemas.openxmlformats.org/officeDocument/2006/relationships/hyperlink" Id="rId195"/>
    <Relationship TargetMode="External" Target="https://www.legis.iowa.gov/docs/iac/rule/876.4.38.pdf" Type="http://schemas.openxmlformats.org/officeDocument/2006/relationships/hyperlink" Id="rId196"/>
    <Relationship TargetMode="External" Target="https://www.legis.iowa.gov/docs/iac/rule/876.4.38.pdf" Type="http://schemas.openxmlformats.org/officeDocument/2006/relationships/hyperlink" Id="rId197"/>
    <Relationship TargetMode="External" Target="https://www.legis.iowa.gov/docs/ico/chapter/17A.17.pdf" Type="http://schemas.openxmlformats.org/officeDocument/2006/relationships/hyperlink" Id="rId198"/>
    <Relationship TargetMode="External" Target="https://www.legis.iowa.gov/docs/ico/chapter/17A.17.pdf" Type="http://schemas.openxmlformats.org/officeDocument/2006/relationships/hyperlink" Id="rId199"/>
    <Relationship TargetMode="External" Target="https://www.legis.iowa.gov/docs/ico/chapter/86.24.pdf" Type="http://schemas.openxmlformats.org/officeDocument/2006/relationships/hyperlink" Id="rId200"/>
    <Relationship TargetMode="External" Target="https://www.legis.iowa.gov/docs/ico/chapter/17A.12.pdf" Type="http://schemas.openxmlformats.org/officeDocument/2006/relationships/hyperlink" Id="rId201"/>
    <Relationship TargetMode="External" Target="https://www.legis.iowa.gov/docs/ico/chapter/17A.pdf" Type="http://schemas.openxmlformats.org/officeDocument/2006/relationships/hyperlink" Id="rId202"/>
    <Relationship TargetMode="External" Target="https://www.legis.iowa.gov/docs/ico/chapter/85.pdf" Type="http://schemas.openxmlformats.org/officeDocument/2006/relationships/hyperlink" Id="rId203"/>
    <Relationship TargetMode="External" Target="https://www.legis.iowa.gov/docs/ico/chapter/85A.pdf" Type="http://schemas.openxmlformats.org/officeDocument/2006/relationships/hyperlink" Id="rId204"/>
    <Relationship TargetMode="External" Target="https://www.legis.iowa.gov/docs/ico/chapter/85B.pdf" Type="http://schemas.openxmlformats.org/officeDocument/2006/relationships/hyperlink" Id="rId205"/>
    <Relationship TargetMode="External" Target="https://www.legis.iowa.gov/docs/ico/chapter/86.pdf" Type="http://schemas.openxmlformats.org/officeDocument/2006/relationships/hyperlink" Id="rId206"/>
    <Relationship TargetMode="External" Target="https://www.legis.iowa.gov/docs/ico/chapter/85.21.pdf" Type="http://schemas.openxmlformats.org/officeDocument/2006/relationships/hyperlink" Id="rId207"/>
    <Relationship TargetMode="External" Target="https://www.legis.iowa.gov/docs/ico/chapter/85.43.pdf" Type="http://schemas.openxmlformats.org/officeDocument/2006/relationships/hyperlink" Id="rId208"/>
    <Relationship TargetMode="External" Target="https://www.legis.iowa.gov/docs/iac/rule/876.10.1.pdf" Type="http://schemas.openxmlformats.org/officeDocument/2006/relationships/hyperlink" Id="rId209"/>
    <Relationship TargetMode="External" Target="https://www.legis.iowa.gov/docs/iac/rule/876.4.40.pdf" Type="http://schemas.openxmlformats.org/officeDocument/2006/relationships/hyperlink" Id="rId210"/>
    <Relationship TargetMode="External" Target="https://www.legis.iowa.gov/docs/iac/rule/876.10.1.pdf" Type="http://schemas.openxmlformats.org/officeDocument/2006/relationships/hyperlink" Id="rId211"/>
    <Relationship TargetMode="External" Target="https://www.legis.iowa.gov/docs/ico/chapter/17A.10.pdf" Type="http://schemas.openxmlformats.org/officeDocument/2006/relationships/hyperlink" Id="rId212"/>
    <Relationship TargetMode="External" Target="https://www.legis.iowa.gov/docs/ico/chapter/86.8.pdf" Type="http://schemas.openxmlformats.org/officeDocument/2006/relationships/hyperlink" Id="rId213"/>
    <Relationship TargetMode="External" Target="https://www.legis.iowa.gov/docs/ico/chapter/86.13.pdf" Type="http://schemas.openxmlformats.org/officeDocument/2006/relationships/hyperlink" Id="rId214"/>
    <Relationship TargetMode="External" Target="https://www.legis.iowa.gov/docs/iac/rule/876.4.27.pdf" Type="http://schemas.openxmlformats.org/officeDocument/2006/relationships/hyperlink" Id="rId215"/>
    <Relationship TargetMode="External" Target="https://www.legis.iowa.gov/docs/iac/rule/876.4.48.pdf" Type="http://schemas.openxmlformats.org/officeDocument/2006/relationships/hyperlink" Id="rId216"/>
    <Relationship TargetMode="External" Target="https://www.legis.iowa.gov/docs/ico/chapter/17A.12.pdf" Type="http://schemas.openxmlformats.org/officeDocument/2006/relationships/hyperlink" Id="rId217"/>
    <Relationship TargetMode="External" Target="https://www.legis.iowa.gov/docs/ico/chapter/17A.15.pdf" Type="http://schemas.openxmlformats.org/officeDocument/2006/relationships/hyperlink" Id="rId218"/>
    <Relationship TargetMode="External" Target="https://www.legis.iowa.gov/docs/ico/chapter/86.8.pdf" Type="http://schemas.openxmlformats.org/officeDocument/2006/relationships/hyperlink" Id="rId219"/>
    <Relationship TargetMode="External" Target="https://www.legis.iowa.gov/docs/ico/chapter/86.18.pdf" Type="http://schemas.openxmlformats.org/officeDocument/2006/relationships/hyperlink" Id="rId220"/>
    <Relationship TargetMode="External" Target="https://www.legis.iowa.gov/docs/ico/chapter/86.24.pdf" Type="http://schemas.openxmlformats.org/officeDocument/2006/relationships/hyperlink" Id="rId221"/>
    <Relationship TargetMode="External" Target="https://www.legis.iowa.gov/docs/iac/rule/876.10.3.pdf" Type="http://schemas.openxmlformats.org/officeDocument/2006/relationships/hyperlink" Id="rId222"/>
    <Relationship TargetMode="External" Target="https://www.legis.iowa.gov/docs/iac/rule/876.10.3.pdf" Type="http://schemas.openxmlformats.org/officeDocument/2006/relationships/hyperlink" Id="rId223"/>
    <Relationship TargetMode="External" Target="https://www.legis.iowa.gov/docs/iac/rule/876.10.1.pdf" Type="http://schemas.openxmlformats.org/officeDocument/2006/relationships/hyperlink" Id="rId224"/>
    <Relationship TargetMode="External" Target="https://www.legis.iowa.gov/docs/iac/rule/876.10.3.pdf" Type="http://schemas.openxmlformats.org/officeDocument/2006/relationships/hyperlink" Id="rId225"/>
    <Relationship TargetMode="External" Target="https://www.legis.iowa.gov/docs/iac/rule/876.10.3.pdf" Type="http://schemas.openxmlformats.org/officeDocument/2006/relationships/hyperlink" Id="rId226"/>
    <Relationship TargetMode="External" Target="https://www.legis.iowa.gov/docs/ico/chapter/17A.pdf" Type="http://schemas.openxmlformats.org/officeDocument/2006/relationships/hyperlink" Id="rId227"/>
    <Relationship TargetMode="External" Target="https://www.legis.iowa.gov/docs/iac/rule/876.10.3.pdf" Type="http://schemas.openxmlformats.org/officeDocument/2006/relationships/hyperlink" Id="rId228"/>
    <Relationship TargetMode="External" Target="https://www.legis.iowa.gov/docs/iac/rule/876.10.3.pdf" Type="http://schemas.openxmlformats.org/officeDocument/2006/relationships/hyperlink" Id="rId229"/>
    <Relationship TargetMode="External" Target="https://www.legis.iowa.gov/docs/iac/rule/876.10.3.pdf" Type="http://schemas.openxmlformats.org/officeDocument/2006/relationships/hyperlink" Id="rId230"/>
    <Relationship TargetMode="External" Target="https://www.legis.iowa.gov/docs/iac/rule/876.10.3.pdf" Type="http://schemas.openxmlformats.org/officeDocument/2006/relationships/hyperlink" Id="rId231"/>
    <Relationship TargetMode="External" Target="https://www.legis.iowa.gov/docs/iac/rule/876.10.3.pdf" Type="http://schemas.openxmlformats.org/officeDocument/2006/relationships/hyperlink" Id="rId232"/>
    <Relationship TargetMode="External" Target="https://www.legis.iowa.gov/docs/iac/rule/876.10.3.pdf" Type="http://schemas.openxmlformats.org/officeDocument/2006/relationships/hyperlink" Id="rId233"/>
    <Relationship TargetMode="External" Target="https://www.legis.iowa.gov/docs/ico/chapter/17A.pdf" Type="http://schemas.openxmlformats.org/officeDocument/2006/relationships/hyperlink" Id="rId234"/>
    <Relationship TargetMode="External" Target="https://www.legis.iowa.gov/docs/ico/chapter/17A.10.pdf" Type="http://schemas.openxmlformats.org/officeDocument/2006/relationships/hyperlink" Id="rId235"/>
    <Relationship TargetMode="External" Target="https://www.legis.iowa.gov/docs/ico/chapter/17A.12.pdf" Type="http://schemas.openxmlformats.org/officeDocument/2006/relationships/hyperlink" Id="rId236"/>
    <Relationship TargetMode="External" Target="https://www.legis.iowa.gov/docs/ico/chapter/17A.14.pdf" Type="http://schemas.openxmlformats.org/officeDocument/2006/relationships/hyperlink" Id="rId237"/>
    <Relationship TargetMode="External" Target="https://www.legis.iowa.gov/docs/ico/chapter/85.27.pdf" Type="http://schemas.openxmlformats.org/officeDocument/2006/relationships/hyperlink" Id="rId238"/>
    <Relationship TargetMode="External" Target="https://www.legis.iowa.gov/docs/ico/chapter/86.8.pdf" Type="http://schemas.openxmlformats.org/officeDocument/2006/relationships/hyperlink" Id="rId239"/>
    <Relationship TargetMode="External" Target="https://www.legis.iowa.gov/docs/ico/chapter/86.39.pdf" Type="http://schemas.openxmlformats.org/officeDocument/2006/relationships/hyperlink" Id="rId240"/>
    <Relationship TargetMode="External" Target="https://www.legis.iowa.gov/docs/ico/chapter/85.27.pdf" Type="http://schemas.openxmlformats.org/officeDocument/2006/relationships/hyperlink" Id="rId241"/>
    <Relationship TargetMode="External" Target="https://www.legis.iowa.gov/docs/ico/chapter/85.27.pdf" Type="http://schemas.openxmlformats.org/officeDocument/2006/relationships/hyperlink" Id="rId242"/>
    <Relationship TargetMode="External" Target="https://www.legis.iowa.gov/docs/ico/chapter/87.11.pdf" Type="http://schemas.openxmlformats.org/officeDocument/2006/relationships/hyperlink" Id="rId243"/>
    <Relationship TargetMode="External" Target="https://www.legis.iowa.gov/docs/iac/rule/876.4.8.pdf" Type="http://schemas.openxmlformats.org/officeDocument/2006/relationships/hyperlink" Id="rId244"/>
    <Relationship TargetMode="External" Target="https://www.legis.iowa.gov/docs/iac/rule/876.4.1.pdf" Type="http://schemas.openxmlformats.org/officeDocument/2006/relationships/hyperlink" Id="rId245"/>
    <Relationship TargetMode="External" Target="https://www.legis.iowa.gov/docs/iac/rule/876.4.48.pdf" Type="http://schemas.openxmlformats.org/officeDocument/2006/relationships/hyperlink" Id="rId246"/>
    <Relationship TargetMode="External" Target="https://www.legis.iowa.gov/docs/ico/chapter/86.24.pdf" Type="http://schemas.openxmlformats.org/officeDocument/2006/relationships/hyperlink" Id="rId247"/>
    <Relationship TargetMode="External" Target="https://www.legis.iowa.gov/docs/ico/chapter/86.19.pdf" Type="http://schemas.openxmlformats.org/officeDocument/2006/relationships/hyperlink" Id="rId248"/>
    <Relationship TargetMode="External" Target="https://www.legis.iowa.gov/docs/ico/chapter/631.14.pdf" Type="http://schemas.openxmlformats.org/officeDocument/2006/relationships/hyperlink" Id="rId249"/>
    <Relationship TargetMode="External" Target="https://www.legis.iowa.gov/docs/ico/chapter/17A.12.pdf" Type="http://schemas.openxmlformats.org/officeDocument/2006/relationships/hyperlink" Id="rId250"/>
    <Relationship TargetMode="External" Target="https://www.legis.iowa.gov/docs/ico/chapter/85.27.pdf" Type="http://schemas.openxmlformats.org/officeDocument/2006/relationships/hyperlink" Id="rId251"/>
    <Relationship TargetMode="External" Target="https://www.legis.iowa.gov/docs/ico/chapter/86.8.pdf" Type="http://schemas.openxmlformats.org/officeDocument/2006/relationships/hyperlink" Id="rId252"/>
    <Relationship TargetMode="External" Target="https://www.legis.iowa.gov/docs/ico/chapter/86.17.pdf" Type="http://schemas.openxmlformats.org/officeDocument/2006/relationships/hyperlink" Id="rId253"/>
    <Relationship TargetMode="External" Target="https://www.legis.iowa.gov/docs/ico/chapter/17A.12.pdf" Type="http://schemas.openxmlformats.org/officeDocument/2006/relationships/hyperlink" Id="rId254"/>
    <Relationship TargetMode="External" Target="https://www.legis.iowa.gov/docs/ico/chapter/85.27.pdf" Type="http://schemas.openxmlformats.org/officeDocument/2006/relationships/hyperlink" Id="rId255"/>
    <Relationship TargetMode="External" Target="https://www.legis.iowa.gov/docs/ico/chapter/86.8.pdf" Type="http://schemas.openxmlformats.org/officeDocument/2006/relationships/hyperlink" Id="rId256"/>
    <Relationship TargetMode="External" Target="https://www.legis.iowa.gov/docs/ico/chapter/86.17.pdf" Type="http://schemas.openxmlformats.org/officeDocument/2006/relationships/hyperlink" Id="rId257"/>
    <Relationship TargetMode="External" Target="https://www.legis.iowa.gov/docs/ico/chapter/86.18.pdf" Type="http://schemas.openxmlformats.org/officeDocument/2006/relationships/hyperlink" Id="rId258"/>
    <Relationship TargetMode="External" Target="https://www.legis.iowa.gov/docs/ico/chapter/85.70.pdf" Type="http://schemas.openxmlformats.org/officeDocument/2006/relationships/hyperlink" Id="rId259"/>
    <Relationship TargetMode="External" Target="https://www.legis.iowa.gov/docs/iac/rule/876.4.7.pdf" Type="http://schemas.openxmlformats.org/officeDocument/2006/relationships/hyperlink" Id="rId260"/>
    <Relationship TargetMode="External" Target="https://www.legis.iowa.gov/docs/iac/rule/876.4.13.pdf" Type="http://schemas.openxmlformats.org/officeDocument/2006/relationships/hyperlink" Id="rId261"/>
    <Relationship TargetMode="External" Target="https://www.legis.iowa.gov/docs/ico/chapter/85.34.pdf" Type="http://schemas.openxmlformats.org/officeDocument/2006/relationships/hyperlink" Id="rId262"/>
    <Relationship TargetMode="External" Target="https://www.legis.iowa.gov/docs/ico/chapter/86.24.pdf" Type="http://schemas.openxmlformats.org/officeDocument/2006/relationships/hyperlink" Id="rId263"/>
    <Relationship TargetMode="External" Target="https://www.legis.iowa.gov/docs/ico/chapter/86.19.pdf" Type="http://schemas.openxmlformats.org/officeDocument/2006/relationships/hyperlink" Id="rId264"/>
    <Relationship TargetMode="External" Target="https://www.legis.iowa.gov/docs/ico/chapter/631.14.pdf" Type="http://schemas.openxmlformats.org/officeDocument/2006/relationships/hyperlink" Id="rId265"/>
    <Relationship TargetMode="External" Target="https://www.legis.iowa.gov/docs/ico/chapter/17A.12.pdf" Type="http://schemas.openxmlformats.org/officeDocument/2006/relationships/hyperlink" Id="rId266"/>
    <Relationship TargetMode="External" Target="https://www.legis.iowa.gov/docs/ico/chapter/85.70.pdf" Type="http://schemas.openxmlformats.org/officeDocument/2006/relationships/hyperlink" Id="rId267"/>
    <Relationship TargetMode="External" Target="https://www.legis.iowa.gov/docs/ico/chapter/86.17.pdf" Type="http://schemas.openxmlformats.org/officeDocument/2006/relationships/hyperlink" Id="rId268"/>
    <Relationship TargetMode="External" Target="https://www.legis.iowa.gov/docs/ico/chapter/17A.pdf" Type="http://schemas.openxmlformats.org/officeDocument/2006/relationships/hyperlink" Id="rId269"/>
    <Relationship TargetMode="External" Target="https://www.legis.iowa.gov/docs/ico/chapter/85.pdf" Type="http://schemas.openxmlformats.org/officeDocument/2006/relationships/hyperlink" Id="rId270"/>
    <Relationship TargetMode="External" Target="https://www.legis.iowa.gov/docs/ico/chapter/85A.pdf" Type="http://schemas.openxmlformats.org/officeDocument/2006/relationships/hyperlink" Id="rId271"/>
    <Relationship TargetMode="External" Target="https://www.legis.iowa.gov/docs/ico/chapter/85B.pdf" Type="http://schemas.openxmlformats.org/officeDocument/2006/relationships/hyperlink" Id="rId272"/>
    <Relationship TargetMode="External" Target="https://www.legis.iowa.gov/docs/ico/chapter/86.pdf" Type="http://schemas.openxmlformats.org/officeDocument/2006/relationships/hyperlink" Id="rId273"/>
    <Relationship TargetMode="External" Target="https://www.legis.iowa.gov/docs/iac/chapter/876.16.pdf" Type="http://schemas.openxmlformats.org/officeDocument/2006/relationships/hyperlink" Id="rId274"/>
    <Relationship TargetMode="External" Target="https://www.legis.iowa.gov/docs/ico/chapter/85.pdf" Type="http://schemas.openxmlformats.org/officeDocument/2006/relationships/hyperlink" Id="rId275"/>
    <Relationship TargetMode="External" Target="https://www.legis.iowa.gov/docs/ico/chapter/85A.pdf" Type="http://schemas.openxmlformats.org/officeDocument/2006/relationships/hyperlink" Id="rId276"/>
    <Relationship TargetMode="External" Target="https://www.legis.iowa.gov/docs/ico/chapter/85B.pdf" Type="http://schemas.openxmlformats.org/officeDocument/2006/relationships/hyperlink" Id="rId277"/>
    <Relationship TargetMode="External" Target="https://www.legis.iowa.gov/docs/ico/chapter/86.pdf" Type="http://schemas.openxmlformats.org/officeDocument/2006/relationships/hyperlink" Id="rId278"/>
    <Relationship TargetMode="External" Target="https://www.legis.iowa.gov/docs/ico/chapter/87.pdf" Type="http://schemas.openxmlformats.org/officeDocument/2006/relationships/hyperlink" Id="rId279"/>
    <Relationship TargetMode="External" Target="https://www.legis.iowa.gov/docs/ico/chapter/17A.pdf" Type="http://schemas.openxmlformats.org/officeDocument/2006/relationships/hyperlink" Id="rId280"/>
    <Relationship TargetMode="External" Target="https://www.legis.iowa.gov/docs/ico/chapter/17A.pdf" Type="http://schemas.openxmlformats.org/officeDocument/2006/relationships/hyperlink" Id="rId281"/>
    <Relationship TargetMode="External" Target="https://www.legis.iowa.gov/docs/ico/chapter/85.pdf" Type="http://schemas.openxmlformats.org/officeDocument/2006/relationships/hyperlink" Id="rId282"/>
    <Relationship TargetMode="External" Target="https://www.legis.iowa.gov/docs/ico/chapter/85A.pdf" Type="http://schemas.openxmlformats.org/officeDocument/2006/relationships/hyperlink" Id="rId283"/>
    <Relationship TargetMode="External" Target="https://www.legis.iowa.gov/docs/ico/chapter/85B.pdf" Type="http://schemas.openxmlformats.org/officeDocument/2006/relationships/hyperlink" Id="rId284"/>
    <Relationship TargetMode="External" Target="https://www.legis.iowa.gov/docs/ico/chapter/86.pdf" Type="http://schemas.openxmlformats.org/officeDocument/2006/relationships/hyperlink" Id="rId2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