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FORMAL REVIEW AND WAIVER OF RULES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876—12.1</w:t>
      </w:r>
      <w:r>
        <w:rPr>
          <w:rFonts w:ascii="Times New Roman" w:hAnsi="Times New Roman"/>
          <w:b/>
          <w:i w:val="false"/>
          <w:color w:val="000000"/>
          <w:sz w:val="22"/>
        </w:rPr>
        <w:t xml:space="preserve">(17A) </w:t>
      </w:r>
      <w:r>
        <w:rPr>
          <w:rFonts w:ascii="Times New Roman" w:hAnsi="Times New Roman"/>
          <w:b/>
          <w:i w:val="false"/>
          <w:color w:val="000000"/>
          <w:sz w:val="22"/>
        </w:rPr>
        <w:t xml:space="preserve">Requests to review. </w:t>
      </w:r>
      <w:r>
        <w:rPr>
          <w:rFonts w:ascii="Times New Roman" w:hAnsi="Times New Roman"/>
          <w:b w:val="false"/>
          <w:i w:val="false"/>
          <w:color w:val="000000"/>
          <w:sz w:val="22"/>
        </w:rPr>
        <w:t>Any interested person, association, agency, or political subdivision may submit a written request to the workers’ compensation commissioner requesting the agency to conduct a formal review of a specified rule. Upon approval of that request by the workers’ compensation commissioner, the agency shall conduct a formal review of a specified rule to determine whether a new rule should be adopted instead or the rule should be amended or repealed. The agency may refuse to conduct a review if it has conducted such a review of the specified rule within five years prior to the filing of the written request.</w:t>
      </w:r>
    </w:p>
    <w:p>
      <w:pPr>
        <w:spacing w:before="210" w:after="0"/>
        <w:ind w:left="120"/>
        <w:jc w:val="both"/>
      </w:pPr>
      <w:r>
        <w:rPr>
          <w:rFonts w:ascii="Times New Roman" w:hAnsi="Times New Roman"/>
          <w:b/>
          <w:i w:val="false"/>
          <w:color w:val="000000"/>
          <w:sz w:val="22"/>
        </w:rPr>
        <w:t>876—12.2</w:t>
      </w:r>
      <w:r>
        <w:rPr>
          <w:rFonts w:ascii="Times New Roman" w:hAnsi="Times New Roman"/>
          <w:b/>
          <w:i w:val="false"/>
          <w:color w:val="000000"/>
          <w:sz w:val="22"/>
        </w:rPr>
        <w:t xml:space="preserve">(17A) </w:t>
      </w:r>
      <w:r>
        <w:rPr>
          <w:rFonts w:ascii="Times New Roman" w:hAnsi="Times New Roman"/>
          <w:b/>
          <w:i w:val="false"/>
          <w:color w:val="000000"/>
          <w:sz w:val="22"/>
        </w:rPr>
        <w:t xml:space="preserve">Review of rules. </w:t>
      </w:r>
      <w:r>
        <w:rPr>
          <w:rFonts w:ascii="Times New Roman" w:hAnsi="Times New Roman"/>
          <w:b w:val="false"/>
          <w:i w:val="false"/>
          <w:color w:val="000000"/>
          <w:sz w:val="22"/>
        </w:rPr>
        <w:t>In conducting the formal review, the agency shall prepare within a reasonable time a written report summarizing its findings, its supporting reasons, and any proposed course of action. The report must include a concise statement of the agency’s findings regarding the rule’s effectiveness in achieving its objectives, including a summary of any available supporting data. The report shall also concisely describe significant written criticisms of the rule received during the previous five years, including a summary of any petitions for waiver of the rule received by the agency or granted by the agency. The report shall describe alternative solutions to resolve the criticisms of the rule, the reasons any were rejected, and any changes made in the rule in response to the criticisms as well as the reasons for the changes. A copy of the agency’s report shall be sent to the administrative rules review committee and the administrative rules coordinator. The report must also be available for public inspection.</w:t>
      </w:r>
    </w:p>
    <w:p>
      <w:pPr>
        <w:spacing w:before="0" w:after="0"/>
        <w:ind w:left="120"/>
        <w:jc w:val="both"/>
      </w:pPr>
      <w:r>
        <w:rPr>
          <w:rFonts w:ascii="Times New Roman" w:hAnsi="Times New Roman"/>
          <w:b/>
          <w:i w:val="false"/>
          <w:color w:val="000000"/>
          <w:sz w:val="22"/>
        </w:rPr>
        <w:t>876—12.3</w:t>
      </w:r>
      <w:r>
        <w:rPr>
          <w:rFonts w:ascii="Times New Roman" w:hAnsi="Times New Roman"/>
          <w:b/>
          <w:i w:val="false"/>
          <w:color w:val="000000"/>
          <w:sz w:val="22"/>
        </w:rPr>
        <w:t xml:space="preserve">(17A) </w:t>
      </w:r>
      <w:r>
        <w:rPr>
          <w:rFonts w:ascii="Times New Roman" w:hAnsi="Times New Roman"/>
          <w:b/>
          <w:i w:val="false"/>
          <w:color w:val="000000"/>
          <w:sz w:val="22"/>
        </w:rPr>
        <w:t xml:space="preserve">Form of criticism. </w:t>
      </w:r>
      <w:r>
        <w:rPr>
          <w:rFonts w:ascii="Times New Roman" w:hAnsi="Times New Roman"/>
          <w:b w:val="false"/>
          <w:i w:val="false"/>
          <w:color w:val="000000"/>
          <w:sz w:val="22"/>
        </w:rPr>
        <w:t>The division of workers’ compensation is designated as the office where interested persons may submit written criticism regarding an administrative rule of the Workers’ Compensation Division[876]. Written criticism should be mailed or delivered to the Division of Workers’ Compensation, 150 Des Moines Street, Des Moines, Iowa 50309. A criticism of a specific rule must be more than a mere lack of understanding of a rule or a dislike regarding the rule. To constitute a criticism of a rule, the criticism must be in writing, indicate it is a criticism of a specific rule, be signed by the complainant, not be part of any other filing with the workers’ compensation commissioner or department of workforce development, and have a valid legal basis for support. All criticisms received on any rule will be kept in a separate record for a period of five years by the workers’ compensation commissioner and be a public record open for public inspection. All criticisms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BEFORE THE WORKERS’ COMPENSATION COMMISSIONER</w:t>
            </w:r>
          </w:p>
        </w:tc>
      </w:tr>
      <w:tr>
        <w:trPr>
          <w:trHeight w:val="930"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CRITICISM BY (NAME OF PERSON</w:t>
            </w:r>
          </w:p>
          <w:p>
            <w:pPr>
              <w:spacing w:before="0" w:after="0"/>
              <w:ind w:left="160"/>
              <w:jc w:val="left"/>
            </w:pPr>
            <w:r>
              <w:rPr>
                <w:rFonts w:ascii="Times New Roman" w:hAnsi="Times New Roman"/>
                <w:b w:val="false"/>
                <w:i w:val="false"/>
                <w:color w:val="000000"/>
                <w:sz w:val="16"/>
              </w:rPr>
              <w:t>SUBMITTING CRITICISM).</w:t>
            </w:r>
          </w:p>
        </w:tc>
        <w:tc>
          <w:tcPr>
            <w:tcW w:w="149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72"/>
              </w:rPr>
              <w:t>}</w:t>
            </w:r>
          </w:p>
          <w:p>
            <w:pPr>
              <w:spacing w:before="0" w:after="0"/>
              <w:ind w:left="160"/>
              <w:jc w:val="center"/>
            </w:pPr>
            <w:r>
              <w:rPr>
                <w:rFonts w:ascii="Times New Roman" w:hAnsi="Times New Roman"/>
                <w:b w:val="false"/>
                <w:i w:val="false"/>
                <w:color w:val="000000"/>
                <w:sz w:val="72"/>
              </w:rPr>
              <w:t> </w:t>
            </w:r>
          </w:p>
        </w:tc>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CRITICISM OF (SPECIFY</w:t>
            </w:r>
          </w:p>
          <w:p>
            <w:pPr>
              <w:spacing w:before="0" w:after="0"/>
              <w:ind w:left="160"/>
              <w:jc w:val="left"/>
            </w:pPr>
            <w:r>
              <w:rPr>
                <w:rFonts w:ascii="Times New Roman" w:hAnsi="Times New Roman"/>
                <w:b w:val="false"/>
                <w:i w:val="false"/>
                <w:color w:val="000000"/>
                <w:sz w:val="16"/>
              </w:rPr>
              <w:t>RULE THAT IS CRITICIZED).</w:t>
            </w:r>
          </w:p>
        </w:tc>
      </w:tr>
    </w:tbl>
    <w:p>
      <w:pPr>
        <w:spacing w:before="0" w:after="0"/>
        <w:ind w:left="120"/>
        <w:jc w:val="both"/>
      </w:pPr>
      <w:r>
        <w:rPr>
          <w:rFonts w:ascii="Times New Roman" w:hAnsi="Times New Roman"/>
          <w:b w:val="false"/>
          <w:i w:val="false"/>
          <w:color w:val="000000"/>
          <w:sz w:val="22"/>
        </w:rPr>
        <w:t>Reasons for criticism:</w:t>
      </w:r>
    </w:p>
    <w:p>
      <w:pPr>
        <w:spacing w:before="0" w:after="0"/>
        <w:ind w:left="120"/>
        <w:jc w:val="both"/>
      </w:pPr>
      <w:r>
        <w:rPr>
          <w:rFonts w:ascii="Times New Roman" w:hAnsi="Times New Roman"/>
          <w:b w:val="false"/>
          <w:i w:val="false"/>
          <w:color w:val="000000"/>
          <w:sz w:val="22"/>
        </w:rPr>
        <w:t>Name, address, telephone number and signature of person submitting criticism.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3528C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 xml:space="preserve">; </w:t>
      </w:r>
      <w:r>
        <w:rPr>
          <w:rFonts w:ascii="Times New Roman" w:hAnsi="Times New Roman"/>
          <w:b/>
          <w:i w:val="false"/>
          <w:color w:val="000000"/>
          <w:sz w:val="16"/>
        </w:rPr>
        <w:t>ARC 5042C</w:t>
      </w:r>
      <w:r>
        <w:rPr>
          <w:rFonts w:ascii="Times New Roman" w:hAnsi="Times New Roman"/>
          <w:b w:val="false"/>
          <w:i w:val="false"/>
          <w:color w:val="000000"/>
          <w:sz w:val="16"/>
        </w:rPr>
        <w:t>, IAB 5/20/20, effective 6/24/20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876—12.4</w:t>
      </w:r>
      <w:r>
        <w:rPr>
          <w:rFonts w:ascii="Times New Roman" w:hAnsi="Times New Roman"/>
          <w:b/>
          <w:i w:val="false"/>
          <w:color w:val="000000"/>
          <w:sz w:val="22"/>
        </w:rPr>
        <w:t xml:space="preserve">(17A) </w:t>
      </w:r>
      <w:r>
        <w:rPr>
          <w:rFonts w:ascii="Times New Roman" w:hAnsi="Times New Roman"/>
          <w:b/>
          <w:i w:val="false"/>
          <w:color w:val="000000"/>
          <w:sz w:val="22"/>
        </w:rPr>
        <w:t xml:space="preserve">Requests for waiver of rules. </w:t>
      </w:r>
      <w:r>
        <w:rPr>
          <w:rFonts w:ascii="Times New Roman" w:hAnsi="Times New Roman"/>
          <w:b w:val="false"/>
          <w:i w:val="false"/>
          <w:color w:val="000000"/>
          <w:sz w:val="22"/>
        </w:rPr>
        <w:t>Requests for waiver of a rule in the Workers’ Compensation Division[876] of the Iowa Administrative Code shall be made to the Workers’ Compensation Commissioner, 150 Des Moines Street, Des Moines, Iowa 50309. All requests for waiver of a rule must be in writing and are a public record open for inspection. The person requesting the waiver must submit all facts relied upon in requesting the waiver. The person requesting waiver of the rule must provide clear and convincing evidence that compliance with the rule will create an undue hardship on the person requesting the waiver. A concise memorandum brief and argument, if any is filed, shall be attached to the request for waiver at the time the request is filed. The workers’ compensation commissioner shall grant or deny the waiver within 60 days of the date the request is filed with the agency. The workers’ compensation commissioner shall deny the request if the request is for waiver of a statute. If the request for waiver relates to a time requirement of a rule, the request must be received before the time specified in the rule has expired. The workers’ compensation commissioner may deny the request if the request does not comply with the provisions of this rule. All requests for waiver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BEFORE THE WORKERS’ COMPENSATION COMMISSIONER</w:t>
            </w:r>
          </w:p>
        </w:tc>
      </w:tr>
      <w:tr>
        <w:trPr>
          <w:trHeight w:val="930"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(NAME OF PERSON</w:t>
            </w:r>
          </w:p>
          <w:p>
            <w:pPr>
              <w:spacing w:before="0" w:after="0"/>
              <w:ind w:left="160"/>
              <w:jc w:val="left"/>
            </w:pPr>
            <w:r>
              <w:rPr>
                <w:rFonts w:ascii="Times New Roman" w:hAnsi="Times New Roman"/>
                <w:b w:val="false"/>
                <w:i w:val="false"/>
                <w:color w:val="000000"/>
                <w:sz w:val="16"/>
              </w:rPr>
              <w:t>REQUESTING WAIVER).</w:t>
            </w:r>
          </w:p>
        </w:tc>
        <w:tc>
          <w:tcPr>
            <w:tcW w:w="149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72"/>
              </w:rPr>
              <w:t>}</w:t>
            </w:r>
          </w:p>
          <w:p>
            <w:pPr>
              <w:spacing w:before="0" w:after="0"/>
              <w:ind w:left="160"/>
              <w:jc w:val="center"/>
            </w:pPr>
            <w:r>
              <w:rPr>
                <w:rFonts w:ascii="Times New Roman" w:hAnsi="Times New Roman"/>
                <w:b w:val="false"/>
                <w:i w:val="false"/>
                <w:color w:val="000000"/>
                <w:sz w:val="72"/>
              </w:rPr>
              <w:t> </w:t>
            </w:r>
          </w:p>
        </w:tc>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REQUEST FOR WAIVER OF (SPECIFY</w:t>
            </w:r>
          </w:p>
          <w:p>
            <w:pPr>
              <w:spacing w:before="0" w:after="0"/>
              <w:ind w:left="160"/>
              <w:jc w:val="left"/>
            </w:pPr>
            <w:r>
              <w:rPr>
                <w:rFonts w:ascii="Times New Roman" w:hAnsi="Times New Roman"/>
                <w:b w:val="false"/>
                <w:i w:val="false"/>
                <w:color w:val="000000"/>
                <w:sz w:val="16"/>
              </w:rPr>
              <w:t>RULE FOR WHICH WAIVER IS</w:t>
            </w:r>
          </w:p>
          <w:p>
            <w:pPr>
              <w:spacing w:before="0" w:after="0"/>
              <w:ind w:left="160"/>
              <w:jc w:val="left"/>
            </w:pPr>
            <w:r>
              <w:rPr>
                <w:rFonts w:ascii="Times New Roman" w:hAnsi="Times New Roman"/>
                <w:b w:val="false"/>
                <w:i w:val="false"/>
                <w:color w:val="000000"/>
                <w:sz w:val="16"/>
              </w:rPr>
              <w:t>REQUESTED).</w:t>
            </w:r>
          </w:p>
        </w:tc>
      </w:tr>
    </w:tbl>
    <w:p>
      <w:pPr>
        <w:spacing w:before="0" w:after="0"/>
        <w:ind w:left="120"/>
        <w:jc w:val="both"/>
      </w:pPr>
      <w:r>
        <w:rPr>
          <w:rFonts w:ascii="Times New Roman" w:hAnsi="Times New Roman"/>
          <w:b w:val="false"/>
          <w:i w:val="false"/>
          <w:color w:val="000000"/>
          <w:sz w:val="22"/>
        </w:rPr>
        <w:t>Reasons for requesting waiver:</w:t>
      </w:r>
    </w:p>
    <w:p>
      <w:pPr>
        <w:spacing w:before="0" w:after="0"/>
        <w:ind w:left="120"/>
        <w:jc w:val="both"/>
      </w:pPr>
      <w:r>
        <w:rPr>
          <w:rFonts w:ascii="Times New Roman" w:hAnsi="Times New Roman"/>
          <w:b w:val="false"/>
          <w:i w:val="false"/>
          <w:color w:val="000000"/>
          <w:sz w:val="22"/>
        </w:rPr>
        <w:t>Name, address, telephone number and signature of person submitting waiver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3528C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 xml:space="preserve">; </w:t>
      </w:r>
      <w:r>
        <w:rPr>
          <w:rFonts w:ascii="Times New Roman" w:hAnsi="Times New Roman"/>
          <w:b/>
          <w:i w:val="false"/>
          <w:color w:val="000000"/>
          <w:sz w:val="16"/>
        </w:rPr>
        <w:t>ARC 5042C</w:t>
      </w:r>
      <w:r>
        <w:rPr>
          <w:rFonts w:ascii="Times New Roman" w:hAnsi="Times New Roman"/>
          <w:b w:val="false"/>
          <w:i w:val="false"/>
          <w:color w:val="000000"/>
          <w:sz w:val="16"/>
        </w:rPr>
        <w:t>, IAB 5/20/20, effective 6/24/20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5">
        <w:r>
          <w:rPr>
            <w:rStyle w:val="Hyperlink"/>
            <w:rFonts w:ascii="Times New Roman" w:hAnsi="Times New Roman"/>
            <w:b w:val="false"/>
            <w:i w:val="false"/>
            <w:color w:val="000000"/>
            <w:sz w:val="22"/>
          </w:rPr>
          <w:t>17A.4(1)</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4/15/99, Notice 3/10/99—published 5/5/99, effective 7/1/99]</w:t>
      </w:r>
    </w:p>
    <w:p>
      <w:pPr>
        <w:spacing w:before="0" w:after="0"/>
        <w:ind w:left="120"/>
        <w:jc w:val="center"/>
      </w:pPr>
      <w:r>
        <w:rPr>
          <w:rFonts w:ascii="Times New Roman" w:hAnsi="Times New Roman"/>
          <w:b w:val="false"/>
          <w:i w:val="false"/>
          <w:color w:val="000000"/>
          <w:sz w:val="21"/>
        </w:rPr>
        <w:t>[Filed 5/12/00, Notice 4/5/00—published 5/31/00, effective 7/5/00]</w:t>
      </w:r>
    </w:p>
    <w:p>
      <w:pPr>
        <w:spacing w:before="0" w:after="0"/>
        <w:ind w:left="120"/>
        <w:jc w:val="center"/>
      </w:pPr>
      <w:r>
        <w:rPr>
          <w:rFonts w:ascii="Times New Roman" w:hAnsi="Times New Roman"/>
          <w:b w:val="false"/>
          <w:i w:val="false"/>
          <w:color w:val="000000"/>
          <w:sz w:val="21"/>
        </w:rPr>
        <w:t>[Filed ARC 3528C</w:t>
      </w:r>
      <w:r>
        <w:rPr>
          <w:rFonts w:ascii="Times New Roman" w:hAnsi="Times New Roman"/>
          <w:b w:val="false"/>
          <w:i w:val="false"/>
          <w:color w:val="000000"/>
          <w:sz w:val="21"/>
        </w:rPr>
        <w:t xml:space="preserve"> (Notice ARC 3414C, IAB 10/25/17)</w:t>
      </w:r>
      <w:r>
        <w:rPr>
          <w:rFonts w:ascii="Times New Roman" w:hAnsi="Times New Roman"/>
          <w:b w:val="false"/>
          <w:i w:val="false"/>
          <w:color w:val="000000"/>
          <w:sz w:val="21"/>
        </w:rPr>
        <w:t>, IAB 12/20/17, effective 1/24/18]</w:t>
      </w:r>
    </w:p>
    <w:p>
      <w:pPr>
        <w:spacing w:before="0" w:after="0"/>
        <w:ind w:left="120"/>
        <w:jc w:val="center"/>
      </w:pPr>
      <w:r>
        <w:rPr>
          <w:rFonts w:ascii="Times New Roman" w:hAnsi="Times New Roman"/>
          <w:b w:val="false"/>
          <w:i w:val="false"/>
          <w:color w:val="000000"/>
          <w:sz w:val="21"/>
        </w:rPr>
        <w:t>[Filed ARC 5042C</w:t>
      </w:r>
      <w:r>
        <w:rPr>
          <w:rFonts w:ascii="Times New Roman" w:hAnsi="Times New Roman"/>
          <w:b w:val="false"/>
          <w:i w:val="false"/>
          <w:color w:val="000000"/>
          <w:sz w:val="21"/>
        </w:rPr>
        <w:t xml:space="preserve"> (Notice ARC 4993C, IAB 3/25/20)</w:t>
      </w:r>
      <w:r>
        <w:rPr>
          <w:rFonts w:ascii="Times New Roman" w:hAnsi="Times New Roman"/>
          <w:b w:val="false"/>
          <w:i w:val="false"/>
          <w:color w:val="000000"/>
          <w:sz w:val="21"/>
        </w:rPr>
        <w:t>, IAB 5/20/20, effective 6/24/20]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4.pdf" Type="http://schemas.openxmlformats.org/officeDocument/2006/relationships/hyperlink" Id="rId5"/>
    <Relationship TargetMode="External" Target="https://www.legis.iowa.gov/docs/ico/chapter/17A.7.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