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Iowa telecommunications and technology commission. Contested cases generally include, but are not limited to, appeals of administrative orders issued by the executive director and the withdrawal of an authorized user’s right to use the service offered by the commission. </w:t>
      </w:r>
    </w:p>
    <w:p>
      <w:pPr>
        <w:spacing w:before="0" w:after="0"/>
        <w:ind w:left="120"/>
        <w:jc w:val="both"/>
      </w:pPr>
      <w:r>
        <w:rPr>
          <w:rFonts w:ascii="Times New Roman" w:hAnsi="Times New Roman"/>
          <w:b/>
          <w:i w:val="false"/>
          <w:color w:val="000000"/>
          <w:sz w:val="22"/>
        </w:rPr>
        <w:t>751—4.2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Iowa telecommunications and technology commission, as designated in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as having appellate jurisdiction over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means the director or an authorized representative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commission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or, under certain circumstances, members of the commission or the entire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entire commission did not preside.</w:t>
      </w:r>
    </w:p>
    <w:p>
      <w:pPr>
        <w:spacing w:before="0" w:after="0"/>
        <w:ind w:left="120"/>
        <w:jc w:val="both"/>
      </w:pPr>
      <w:r>
        <w:rPr>
          <w:rFonts w:ascii="Times New Roman" w:hAnsi="Times New Roman"/>
          <w:b/>
          <w:i w:val="false"/>
          <w:color w:val="000000"/>
          <w:sz w:val="22"/>
        </w:rPr>
        <w:t>751—4.3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8">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751—4.4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commission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commission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751—4.5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commission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commission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the commission, members of the commission,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9">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(17A), that the presiding officer be an administrative law judge.</w:t>
      </w:r>
    </w:p>
    <w:p>
      <w:pPr>
        <w:spacing w:before="0" w:after="0"/>
        <w:ind w:left="120"/>
        <w:jc w:val="both"/>
      </w:pPr>
      <w:r>
        <w:rPr>
          <w:rFonts w:ascii="Times New Roman" w:hAnsi="Times New Roman"/>
          <w:b/>
          <w:i w:val="false"/>
          <w:color w:val="000000"/>
          <w:sz w:val="22"/>
        </w:rPr>
        <w:t>751—4.6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 xml:space="preserve">In each contested case in which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requires an evidentiary hearing, the chair of the commission will determine whether the hearing shall be held before the commission, one or more members of the commission, or an administrative law judge. 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commission head or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commission nor any officer of the commission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intercommission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12">
        <w:r>
          <w:rPr>
            <w:rStyle w:val="Hyperlink"/>
            <w:rFonts w:ascii="Times New Roman" w:hAnsi="Times New Roman"/>
            <w:b w:val="false"/>
            <w:i w:val="false"/>
            <w:color w:val="000000"/>
            <w:sz w:val="22"/>
          </w:rPr>
          <w:t>4.6(4)</w:t>
        </w:r>
      </w:hyperlink>
      <w:r>
        <w:rPr>
          <w:rFonts w:ascii="Times New Roman" w:hAnsi="Times New Roman"/>
          <w:b w:val="false"/>
          <w:i w:val="false"/>
          <w:color w:val="000000"/>
          <w:sz w:val="22"/>
        </w:rPr>
        <w:t>, the parties shall be notified at least 10 days prior to the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telecommunications matters shall have the following technical expertise: must befamiliar with telecommunications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commission. A party must seek any available intracommission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commission heads and members of multimembered commission heads, when reviewing a proposed decision upon intracommission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751—4.7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commission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751—4.8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or network proceedings. </w:t>
      </w:r>
      <w:r>
        <w:rPr>
          <w:rFonts w:ascii="Times New Roman" w:hAnsi="Times New Roman"/>
          <w:b w:val="false"/>
          <w:i w:val="false"/>
          <w:color w:val="000000"/>
          <w:sz w:val="22"/>
        </w:rPr>
        <w:t>The presiding officer may resolve preliminary procedural motions by telephone conference or on the Iowa Communications Network in which all parties have an opportunity to participate. Other telephone or network proceedings, including the hearing for the contested case proceeding, may be held with the consent of all parties. The presiding officer will determine the location of the parties and witnesses for telephone or network hearings. The convenience of the witnesses or parties, as well as the nature of the case, will be considered when location is chosen. The cost of the telephone hearing or network hearing may be assessed equally to each party.</w:t>
      </w:r>
    </w:p>
    <w:p>
      <w:pPr>
        <w:spacing w:before="0" w:after="0"/>
        <w:ind w:left="120"/>
        <w:jc w:val="both"/>
      </w:pPr>
      <w:r>
        <w:rPr>
          <w:rFonts w:ascii="Times New Roman" w:hAnsi="Times New Roman"/>
          <w:b/>
          <w:i w:val="false"/>
          <w:color w:val="000000"/>
          <w:sz w:val="22"/>
        </w:rPr>
        <w:t>751—4.9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commission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1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6">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the party shall file a motion supported by an affidavit pursuant to Iowa Code section </w:t>
      </w:r>
      <w:hyperlink r:id="rId1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xml:space="preserve">.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 </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8">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(17A) and seek a stay under rule </w:t>
      </w:r>
      <w:hyperlink r:id="rId19">
        <w:r>
          <w:rPr>
            <w:rStyle w:val="Hyperlink"/>
            <w:rFonts w:ascii="Times New Roman" w:hAnsi="Times New Roman"/>
            <w:b w:val="false"/>
            <w:i w:val="false"/>
            <w:color w:val="000000"/>
            <w:sz w:val="22"/>
          </w:rPr>
          <w:t>4.29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751—4.11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751—4.12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commission, simultaneously with their filing. Except for the original notice of hearing and an application for rehearing as provided in Iowa Code section </w:t>
      </w:r>
      <w:hyperlink r:id="rId2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After the notice of hearing, all pleadings, motions, documents or other papers in a contested case proceeding shall be filed with the executive director of the commission at the ICN main office location as listed in </w:t>
      </w:r>
      <w:hyperlink r:id="rId21">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All pleadings, motions, documents or other papers that are required to be served upon a party shall be filed simultaneously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ICN main office location as listed in </w:t>
      </w:r>
      <w:hyperlink r:id="rId22">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I certify under penalty of perjury and pursuant to the laws of Iowa that, on (date of mailing), I mailed copies of (describe document) addressed to the Iowa Telecommunications and Technology Commission at the ICN main office location as listed in </w:t>
            </w:r>
            <w:hyperlink r:id="rId23">
              <w:r>
                <w:rPr>
                  <w:rStyle w:val="Hyperlink"/>
                  <w:rFonts w:ascii="Times New Roman" w:hAnsi="Times New Roman"/>
                  <w:b w:val="false"/>
                  <w:i w:val="false"/>
                  <w:color w:val="000000"/>
                  <w:sz w:val="21"/>
                </w:rPr>
                <w:t>751—subrule 1.6(1)</w:t>
              </w:r>
            </w:hyperlink>
            <w:r>
              <w:rPr>
                <w:rFonts w:ascii="Times New Roman" w:hAnsi="Times New Roman"/>
                <w:b w:val="false"/>
                <w:i w:val="false"/>
                <w:color w:val="000000"/>
                <w:sz w:val="21"/>
              </w:rPr>
              <w:t xml:space="preserve">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751—4.13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24">
        <w:r>
          <w:rPr>
            <w:rStyle w:val="Hyperlink"/>
            <w:rFonts w:ascii="Times New Roman" w:hAnsi="Times New Roman"/>
            <w:b w:val="false"/>
            <w:i w:val="false"/>
            <w:color w:val="000000"/>
            <w:sz w:val="22"/>
          </w:rPr>
          <w:t>4.13(1)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751—4.14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commission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751—4.15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commission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commission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25">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(17A) and appeal pursuant to rule </w:t>
      </w:r>
      <w:hyperlink r:id="rId26">
        <w:r>
          <w:rPr>
            <w:rStyle w:val="Hyperlink"/>
            <w:rFonts w:ascii="Times New Roman" w:hAnsi="Times New Roman"/>
            <w:b w:val="false"/>
            <w:i w:val="false"/>
            <w:color w:val="000000"/>
            <w:sz w:val="22"/>
          </w:rPr>
          <w:t>4.27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executive director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7">
        <w:r>
          <w:rPr>
            <w:rStyle w:val="Hyperlink"/>
            <w:rFonts w:ascii="Times New Roman" w:hAnsi="Times New Roman"/>
            <w:b w:val="false"/>
            <w:i w:val="false"/>
            <w:color w:val="000000"/>
            <w:sz w:val="22"/>
          </w:rPr>
          <w:t>4.16(2)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751—4.17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commission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751—4.18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commission rules. Unless otherwise provided, a withdrawal shall be with prejudice.</w:t>
      </w:r>
    </w:p>
    <w:p>
      <w:pPr>
        <w:spacing w:before="0" w:after="0"/>
        <w:ind w:left="120"/>
        <w:jc w:val="both"/>
      </w:pPr>
      <w:r>
        <w:rPr>
          <w:rFonts w:ascii="Times New Roman" w:hAnsi="Times New Roman"/>
          <w:b/>
          <w:i w:val="false"/>
          <w:color w:val="000000"/>
          <w:sz w:val="22"/>
        </w:rPr>
        <w:t>751—4.19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751—4.20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751—4.21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751—4.22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commission action unless, within 15 days after the date of notification or mailing of the decision, a motion to vacate is filed and served on all parties or an appeal of a decision on the merits is timely initiated within the time provided by rule </w:t>
      </w:r>
      <w:hyperlink r:id="rId28">
        <w:r>
          <w:rPr>
            <w:rStyle w:val="Hyperlink"/>
            <w:rFonts w:ascii="Times New Roman" w:hAnsi="Times New Roman"/>
            <w:b w:val="false"/>
            <w:i w:val="false"/>
            <w:color w:val="000000"/>
            <w:sz w:val="22"/>
          </w:rPr>
          <w:t>4.27</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9">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0">
        <w:r>
          <w:rPr>
            <w:rStyle w:val="Hyperlink"/>
            <w:rFonts w:ascii="Times New Roman" w:hAnsi="Times New Roman"/>
            <w:b w:val="false"/>
            <w:i w:val="false"/>
            <w:color w:val="000000"/>
            <w:sz w:val="22"/>
          </w:rPr>
          <w:t>4.29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commission or seeking the advice or help of persons other than those with a personal interest in, or those engaged in personally investigating as defined in subrule </w:t>
      </w:r>
      <w:hyperlink r:id="rId31">
        <w:r>
          <w:rPr>
            <w:rStyle w:val="Hyperlink"/>
            <w:rFonts w:ascii="Times New Roman" w:hAnsi="Times New Roman"/>
            <w:b w:val="false"/>
            <w:i w:val="false"/>
            <w:color w:val="000000"/>
            <w:sz w:val="22"/>
          </w:rPr>
          <w:t>4.9(2)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2">
        <w:r>
          <w:rPr>
            <w:rStyle w:val="Hyperlink"/>
            <w:rFonts w:ascii="Times New Roman" w:hAnsi="Times New Roman"/>
            <w:b w:val="false"/>
            <w:i w:val="false"/>
            <w:color w:val="000000"/>
            <w:sz w:val="22"/>
          </w:rPr>
          <w:t>4.12</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33">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4">
        <w:r>
          <w:rPr>
            <w:rStyle w:val="Hyperlink"/>
            <w:rFonts w:ascii="Times New Roman" w:hAnsi="Times New Roman"/>
            <w:b w:val="false"/>
            <w:i w:val="false"/>
            <w:color w:val="000000"/>
            <w:sz w:val="22"/>
          </w:rPr>
          <w:t>4.17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commission. Violation of ex parte communication prohibitions by commission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751—4.24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commission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751—4.25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shall weigh the extent to which its granting the interlocutory appeal would expedite final resolution of the case and the extent to which review of that interlocutory order by the commission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751—4.26</w:t>
      </w:r>
      <w:r>
        <w:rPr>
          <w:rFonts w:ascii="Times New Roman" w:hAnsi="Times New Roman"/>
          <w:b/>
          <w:i w:val="false"/>
          <w:color w:val="000000"/>
          <w:sz w:val="22"/>
        </w:rPr>
        <w:t xml:space="preserve">(17A)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 Filing by parties of briefs and proposed findings. </w:t>
      </w:r>
      <w:r>
        <w:rPr>
          <w:rFonts w:ascii="Times New Roman" w:hAnsi="Times New Roman"/>
          <w:b w:val="false"/>
          <w:i w:val="false"/>
          <w:color w:val="000000"/>
          <w:sz w:val="22"/>
        </w:rPr>
        <w:t>The presiding officer may ask the parties to submit proposed findings and conclusions of law and a proposed order or briefs. Copies of the submission shall be served on all parties. The submission schedule, including waiver or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entire commission presides over the reception of evidence at the hearing, its decision is a final decision. The decision shall be in writing and shall include findings of fact and conclusions of law in conformance with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in which the hearing is held before an administrative law judge or a panel of commission members constituting less than a quorum of the board, the presiding officer or panel shall render a proposed decision. The proposed decision shall be in writing and shall include findings of fact and conclusions of law in conformance with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proposed decision becomes the final decision of the commission without further proceedings unless there is an appeal to, or review on motion of, the commission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presiding officer at the reception of the evidence in a case unless the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findings of fact. Findings of fact, if set forth in statutory language, shall be accompanied by a concise and explicit statement of underlying facts supporting the findings. If a party submitted proposed finding of fact in accordance with subrule </w:t>
      </w:r>
      <w:hyperlink r:id="rId38">
        <w:r>
          <w:rPr>
            <w:rStyle w:val="Hyperlink"/>
            <w:rFonts w:ascii="Times New Roman" w:hAnsi="Times New Roman"/>
            <w:b w:val="false"/>
            <w:i w:val="false"/>
            <w:color w:val="000000"/>
            <w:sz w:val="22"/>
          </w:rPr>
          <w:t>4.26(1)</w:t>
        </w:r>
      </w:hyperlink>
      <w:r>
        <w:rPr>
          <w:rFonts w:ascii="Times New Roman" w:hAnsi="Times New Roman"/>
          <w:b w:val="false"/>
          <w:i w:val="false"/>
          <w:color w:val="000000"/>
          <w:sz w:val="22"/>
        </w:rPr>
        <w:t>, the decision or order shall include a ruling upon each proposed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personal service or by certified mail, return receipt requested.</w:t>
      </w:r>
    </w:p>
    <w:p>
      <w:pPr>
        <w:spacing w:before="0" w:after="0"/>
        <w:ind w:left="120"/>
        <w:jc w:val="both"/>
      </w:pPr>
      <w:r>
        <w:rPr>
          <w:rFonts w:ascii="Times New Roman" w:hAnsi="Times New Roman"/>
          <w:b/>
          <w:i w:val="false"/>
          <w:color w:val="000000"/>
          <w:sz w:val="22"/>
        </w:rPr>
        <w:t>751—4.27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member of 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commission. The notice of appeal must be signed by the appealing party or a representative of that party and contain a certificate of service. If a commission member or the commission initiates review of a proposed decision, the executive director shall mail a notice of review to all parties. The notice of appeal or the notice of review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commission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commission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commission may resolve the appeal on the briefs or provide an opportunity for oral argument. The commission may shorten or extend the briefing period as appropriate.</w:t>
      </w:r>
    </w:p>
    <w:p>
      <w:pPr>
        <w:spacing w:before="0" w:after="0"/>
        <w:ind w:left="120"/>
        <w:jc w:val="both"/>
      </w:pPr>
      <w:r>
        <w:rPr>
          <w:rFonts w:ascii="Times New Roman" w:hAnsi="Times New Roman"/>
          <w:b/>
          <w:i w:val="false"/>
          <w:color w:val="000000"/>
          <w:sz w:val="22"/>
        </w:rPr>
        <w:t>751—4.28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commission decision on the existing record and whether, on the basis of the grounds enumerated in subrule </w:t>
      </w:r>
      <w:hyperlink r:id="rId39">
        <w:r>
          <w:rPr>
            <w:rStyle w:val="Hyperlink"/>
            <w:rFonts w:ascii="Times New Roman" w:hAnsi="Times New Roman"/>
            <w:b w:val="false"/>
            <w:i w:val="false"/>
            <w:color w:val="000000"/>
            <w:sz w:val="22"/>
          </w:rPr>
          <w:t>4.27(4)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commission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commission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commission grants the application within 20 days after its filing.</w:t>
      </w:r>
    </w:p>
    <w:p>
      <w:pPr>
        <w:spacing w:before="0" w:after="0"/>
        <w:ind w:left="120"/>
        <w:jc w:val="both"/>
      </w:pPr>
      <w:r>
        <w:rPr>
          <w:rFonts w:ascii="Times New Roman" w:hAnsi="Times New Roman"/>
          <w:b/>
          <w:i w:val="false"/>
          <w:color w:val="000000"/>
          <w:sz w:val="22"/>
        </w:rPr>
        <w:t>751—4.29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of an order issued in that proceeding or for other temporary remedies, pending review by the commission. The petition shall be filed with the notice of appeal and shall state the reasons justifying a stay or other temporary remedy. The commission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commission shall consider the factors listed in Iowa Code section </w:t>
      </w:r>
      <w:hyperlink r:id="rId40">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commission or any other party.</w:t>
      </w:r>
    </w:p>
    <w:p>
      <w:pPr>
        <w:spacing w:before="210" w:after="0"/>
        <w:ind w:left="120"/>
        <w:jc w:val="both"/>
      </w:pPr>
      <w:r>
        <w:rPr>
          <w:rFonts w:ascii="Times New Roman" w:hAnsi="Times New Roman"/>
          <w:b/>
          <w:i w:val="false"/>
          <w:color w:val="000000"/>
          <w:sz w:val="22"/>
        </w:rPr>
        <w:t>751—4.30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751—4.31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 written order in compliance with Iowa Code section </w:t>
      </w:r>
      <w:hyperlink r:id="rId41">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commission by emergency adjudicative order. Before issuing an emergency adjudicative order the commission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commission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required to comply with the emergency adjudicative order may continue to engage in other activities without posing immediate danger to the public health, safety or welfare;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commission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commission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commission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commission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commission proceedings are scheduled for completion. After issuance of an emergency adjudicative order, continuance of further commission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751—4.32</w:t>
      </w:r>
      <w:r>
        <w:rPr>
          <w:rFonts w:ascii="Times New Roman" w:hAnsi="Times New Roman"/>
          <w:b/>
          <w:i w:val="false"/>
          <w:color w:val="000000"/>
          <w:sz w:val="22"/>
        </w:rPr>
        <w:t xml:space="preserve">(17A,8D) </w:t>
      </w:r>
      <w:r>
        <w:rPr>
          <w:rFonts w:ascii="Times New Roman" w:hAnsi="Times New Roman"/>
          <w:b/>
          <w:i w:val="false"/>
          <w:color w:val="000000"/>
          <w:sz w:val="22"/>
        </w:rPr>
        <w:t xml:space="preserve">Informal procedure prior to hearing. </w:t>
      </w:r>
      <w:r>
        <w:rPr>
          <w:rFonts w:ascii="Times New Roman" w:hAnsi="Times New Roman"/>
          <w:b w:val="false"/>
          <w:i w:val="false"/>
          <w:color w:val="000000"/>
          <w:sz w:val="22"/>
        </w:rPr>
        <w:t xml:space="preserve">Any person who desires to pursue informal settlement of any contested case may request a meeting with appropriate staff. The request should be made in writing to the executive director, setting forth a concise statement of the circumstances giving rise to the controversy, the text or citation to any applicable law, commission rule, or decision, and a statement of the settlement proposed. A request for informal settlement should be received by the executive director not less than 15 days before the board meeting at which it is to be considered. The executive director shall schedule consideration of the request at the next regular board meeting occurring more than 15 days after the request for an informal settlement is made. Not more than 10 days after the commission meeting at which the request is scheduled for consideration, the executive director will notify the petitioner in writing of the commission’s disposition of the request. If the commission determines that a conference is appropriate, the party will be notified when, where, and with whom such a conference is to be held. The terms of any settlement agreed to by the parties shall be embodied in a written stipulation. Upon receipt of the request, all formal contested case procedures are stayed, except in the case of emergency orders as provided in rule </w:t>
      </w:r>
      <w:hyperlink r:id="rId42">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 xml:space="preserve">(17A). If informal settlement is unsuccessful, formal contested case proceedings may be instituted in accordance with rule </w:t>
      </w:r>
      <w:hyperlink r:id="rId4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9/21/07, Notice 6/20/07—published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751.4.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751.4.6.pdf" Type="http://schemas.openxmlformats.org/officeDocument/2006/relationships/hyperlink" Id="rId12"/>
    <Relationship TargetMode="External" Target="https://www.legis.iowa.gov/docs/ico/chapter/17A.17.pdf" Type="http://schemas.openxmlformats.org/officeDocument/2006/relationships/hyperlink" Id="rId13"/>
    <Relationship TargetMode="External" Target="https://www.legis.iowa.gov/docs/iac/rule/751.4.9.pdf" Type="http://schemas.openxmlformats.org/officeDocument/2006/relationships/hyperlink" Id="rId14"/>
    <Relationship TargetMode="External" Target="https://www.legis.iowa.gov/docs/iac/rule/751.4.23.pdf" Type="http://schemas.openxmlformats.org/officeDocument/2006/relationships/hyperlink" Id="rId15"/>
    <Relationship TargetMode="External" Target="https://www.legis.iowa.gov/docs/iac/rule/751.4.9.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751.4.25.pdf" Type="http://schemas.openxmlformats.org/officeDocument/2006/relationships/hyperlink" Id="rId18"/>
    <Relationship TargetMode="External" Target="https://www.legis.iowa.gov/docs/iac/rule/751.4.29.pdf" Type="http://schemas.openxmlformats.org/officeDocument/2006/relationships/hyperlink" Id="rId19"/>
    <Relationship TargetMode="External" Target="https://www.legis.iowa.gov/docs/ico/chapter/17A.16.pdf" Type="http://schemas.openxmlformats.org/officeDocument/2006/relationships/hyperlink" Id="rId20"/>
    <Relationship TargetMode="External" Target="https://www.legis.iowa.gov/docs/iac/rule/751.1.6.pdf" Type="http://schemas.openxmlformats.org/officeDocument/2006/relationships/hyperlink" Id="rId21"/>
    <Relationship TargetMode="External" Target="https://www.legis.iowa.gov/docs/iac/rule/751.1.6.pdf" Type="http://schemas.openxmlformats.org/officeDocument/2006/relationships/hyperlink" Id="rId22"/>
    <Relationship TargetMode="External" Target="https://www.legis.iowa.gov/docs/iac/rule/751.1.6.pdf" Type="http://schemas.openxmlformats.org/officeDocument/2006/relationships/hyperlink" Id="rId23"/>
    <Relationship TargetMode="External" Target="https://www.legis.iowa.gov/docs/iac/rule/751.4.13.pdf" Type="http://schemas.openxmlformats.org/officeDocument/2006/relationships/hyperlink" Id="rId24"/>
    <Relationship TargetMode="External" Target="https://www.legis.iowa.gov/docs/iac/rule/751.4.28.pdf" Type="http://schemas.openxmlformats.org/officeDocument/2006/relationships/hyperlink" Id="rId25"/>
    <Relationship TargetMode="External" Target="https://www.legis.iowa.gov/docs/iac/rule/751.4.27.pdf" Type="http://schemas.openxmlformats.org/officeDocument/2006/relationships/hyperlink" Id="rId26"/>
    <Relationship TargetMode="External" Target="https://www.legis.iowa.gov/docs/iac/rule/751.4.16.pdf" Type="http://schemas.openxmlformats.org/officeDocument/2006/relationships/hyperlink" Id="rId27"/>
    <Relationship TargetMode="External" Target="https://www.legis.iowa.gov/docs/iac/rule/751.4.27.pdf" Type="http://schemas.openxmlformats.org/officeDocument/2006/relationships/hyperlink" Id="rId28"/>
    <Relationship TargetMode="External" Target="https://www.legis.iowa.gov/docs/iac/rule/751.4.25.pdf" Type="http://schemas.openxmlformats.org/officeDocument/2006/relationships/hyperlink" Id="rId29"/>
    <Relationship TargetMode="External" Target="https://www.legis.iowa.gov/docs/iac/rule/751.4.29.pdf" Type="http://schemas.openxmlformats.org/officeDocument/2006/relationships/hyperlink" Id="rId30"/>
    <Relationship TargetMode="External" Target="https://www.legis.iowa.gov/docs/iac/rule/751.4.9.pdf" Type="http://schemas.openxmlformats.org/officeDocument/2006/relationships/hyperlink" Id="rId31"/>
    <Relationship TargetMode="External" Target="https://www.legis.iowa.gov/docs/iac/rule/751.4.12.pdf" Type="http://schemas.openxmlformats.org/officeDocument/2006/relationships/hyperlink" Id="rId32"/>
    <Relationship TargetMode="External" Target="https://www.legis.iowa.gov/docs/iac/rule/751.4.23.pdf" Type="http://schemas.openxmlformats.org/officeDocument/2006/relationships/hyperlink" Id="rId33"/>
    <Relationship TargetMode="External" Target="https://www.legis.iowa.gov/docs/iac/rule/751.4.17.pdf" Type="http://schemas.openxmlformats.org/officeDocument/2006/relationships/hyperlink" Id="rId34"/>
    <Relationship TargetMode="External" Target="https://www.legis.iowa.gov/docs/ico/chapter/17A.13.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ac/rule/751.4.26.pdf" Type="http://schemas.openxmlformats.org/officeDocument/2006/relationships/hyperlink" Id="rId38"/>
    <Relationship TargetMode="External" Target="https://www.legis.iowa.gov/docs/iac/rule/751.4.27.pdf" Type="http://schemas.openxmlformats.org/officeDocument/2006/relationships/hyperlink" Id="rId39"/>
    <Relationship TargetMode="External" Target="https://www.legis.iowa.gov/docs/ico/chapter/17A.19.pdf" Type="http://schemas.openxmlformats.org/officeDocument/2006/relationships/hyperlink" Id="rId40"/>
    <Relationship TargetMode="External" Target="https://www.legis.iowa.gov/docs/ico/chapter/17A.18A.pdf" Type="http://schemas.openxmlformats.org/officeDocument/2006/relationships/hyperlink" Id="rId41"/>
    <Relationship TargetMode="External" Target="https://www.legis.iowa.gov/docs/iac/rule/751.4.31.pdf" Type="http://schemas.openxmlformats.org/officeDocument/2006/relationships/hyperlink" Id="rId42"/>
    <Relationship TargetMode="External" Target="https://www.legis.iowa.gov/docs/iac/rule/751.4.5.pdf" Type="http://schemas.openxmlformats.org/officeDocument/2006/relationships/hyperlink" Id="rId43"/>
    <Relationship TargetMode="External" Target="https://www.legis.iowa.gov/docs/ico/chapter/8D.pdf" Type="http://schemas.openxmlformats.org/officeDocument/2006/relationships/hyperlink" Id="rId44"/>
    <Relationship TargetMode="External" Target="https://www.legis.iowa.gov/docs/ico/chapter/17A.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