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751—2.1</w:t>
      </w:r>
      <w:r>
        <w:rPr>
          <w:rFonts w:ascii="Times New Roman" w:hAnsi="Times New Roman"/>
          <w:b/>
          <w:i w:val="false"/>
          <w:color w:val="000000"/>
          <w:sz w:val="22"/>
        </w:rPr>
        <w:t xml:space="preserve">(17A,22)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implements Iowa Code section </w:t>
      </w:r>
      <w:hyperlink r:id="rId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commission policies and procedures for the maintenance of records. The purpose of this chapter is to facilitate public access to open records. It also seeks to facilitate sound commission determinations with respect to the handling of records and the implementation of the fair information practices Act. This commission is committed to the policies set forth in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commission staff shall cooperate with members of the public in implementing the provisions of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commission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commission which are governed by the rules of another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in reasonable anticipation of court litigation or formal administrative proceedings. The availability of such records to the general public or to any individual or party to such litigation or proceedings shall be governed by applicable legal and constitutional principles, statutes, rules of discovery, evidentiary privileges, and applicable regulations.</w:t>
      </w:r>
    </w:p>
    <w:p>
      <w:pPr>
        <w:spacing w:before="0" w:after="0"/>
        <w:ind w:left="120"/>
        <w:jc w:val="both"/>
      </w:pPr>
      <w:r>
        <w:rPr>
          <w:rFonts w:ascii="Times New Roman" w:hAnsi="Times New Roman"/>
          <w:b/>
          <w:i w:val="false"/>
          <w:color w:val="000000"/>
          <w:sz w:val="22"/>
        </w:rPr>
        <w:t>751—2.2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commission is prohibited by law from making available for examination by members of the public, and records or information contained in records that are specified as confidential by Iowa Code section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commission or a person lawfully delegated authority by its executive director to act for the commission in implementing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in these rules means the whole or a part of a “public record” as defined in Iowa Code section </w:t>
      </w:r>
      <w:hyperlink r:id="rId10">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commission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w:t>
      </w:r>
      <w:r>
        <w:rPr>
          <w:rFonts w:ascii="Times New Roman" w:hAnsi="Times New Roman"/>
          <w:b w:val="false"/>
          <w:i w:val="false"/>
          <w:color w:val="000000"/>
          <w:sz w:val="22"/>
        </w:rPr>
        <w:t>means that person identified in a record.</w:t>
      </w:r>
    </w:p>
    <w:p>
      <w:pPr>
        <w:spacing w:before="0" w:after="0"/>
        <w:ind w:left="120"/>
        <w:jc w:val="both"/>
      </w:pPr>
      <w:r>
        <w:rPr>
          <w:rFonts w:ascii="Times New Roman" w:hAnsi="Times New Roman"/>
          <w:b/>
          <w:i w:val="false"/>
          <w:color w:val="000000"/>
          <w:sz w:val="22"/>
        </w:rPr>
        <w:t>751—2.3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 xml:space="preserve">A request for access to a record should be directed to the executive director or the particular commission office where the record is kept. If the location of the record is not known by the requester, the request shall be directed to the executive director at the ICN main office location as listed in </w:t>
      </w:r>
      <w:hyperlink r:id="rId11">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If a request for access to a record is misdirected, commission personnel will promptly forward the request to the appropriate person within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or in person. The office may also accommodate telephone requests where appropriate. Requests shall identify the particular records sought by name or description in order to facilitate the location of the record. Mail or telephone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unfeasible.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 </w:t>
      </w:r>
      <w:hyperlink r:id="rId14">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6">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(17A,22)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commission files. Examination and copying of commission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commission’s office. If photocopy equipment is not available in the commission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To the extent permitted by applicable provisions of law, the payment of fees may be waived in the case of small requests when the imposition of fees is inequitable or when a waiver is in the public interest. Charges for examination or copies requested in writing by a person in a capacity as representative of another governmental entity or where copies are provided under provisions of a written commission contract may be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Anyone making a request for reproduction of the commission’s records will prepay for services at the following rates, in addition to actual mailing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Photocopies (direct copies on 8½″ x 11″ or 8½″ x 14″ paper)—50 cents per page. For direct photocopies on 11″ x 17″ paper—65 cents per page. The fee for photocopies exceeding 11″ x 17″ will be reviewed and reasonable fees will be provided to the requester upon determination of the commission’s ability to photocopy.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Paper copy from microfilm records—50 cents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Microfiche copy from microfilm records—$1 per fiche.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actual reproduction cost will be charged for any blueprint, picture, oral tape or any other work product not subject to photocopying.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Computer-stored information. Tape files—$100 per file, copied only to 9-track tape with standard IBM labels. Three UP gummed mailing labels and 4 UP Cheshire labels, 30 cents per 1000 records read, and $10 per 1000 labels written. There will be a $15 charge for information copied on computer diskette. A minimum charge of $15 or actual cost will be assessed, whichever is greater. Electronic copies (8½″ x 11″, 8½″ x 14″, or 11″ x 17″) will be provided at no cost. Requests for electronic copies exceeding 11″ x 17″ will be reviewed and reasonable fees will be provided to the requester upon determination of the commission’s ability to transmit and duplicate. Programming time over ten minutes will be charged at the rate of $25 per hour or any portion of an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commission expenses in supervising the examination and copying of requested records when the supervision time required is in excess of one-half hour. The custodian shall prominently post in commission offices the hourly fee to be charged for supervision of records during examination and copying. That hourly fee shall not be in excess of the hourly wage of a commission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If the request requires research or if the record or records cannot reasonably be readily retrieved by the office, the requester will be advised of this fact. Reasonable search fees ($15 per hour or any portion of one hour) may be charged where appropriate for either paper or electronic copy requests. In addition, all costs for retrieval and copying of information stored in electronic storage systems may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ind w:left="120"/>
        <w:jc w:val="both"/>
      </w:pPr>
      <w:r>
        <w:rPr>
          <w:rFonts w:ascii="Times New Roman" w:hAnsi="Times New Roman"/>
          <w:b/>
          <w:i w:val="false"/>
          <w:color w:val="000000"/>
          <w:sz w:val="22"/>
        </w:rPr>
        <w:t>751—2.4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8">
        <w:r>
          <w:rPr>
            <w:rStyle w:val="Hyperlink"/>
            <w:rFonts w:ascii="Times New Roman" w:hAnsi="Times New Roman"/>
            <w:b w:val="false"/>
            <w:i w:val="false"/>
            <w:color w:val="000000"/>
            <w:sz w:val="22"/>
          </w:rPr>
          <w:t>751—2.3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that a request to examine and copy a confidential record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specified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ind w:left="120"/>
        <w:jc w:val="both"/>
      </w:pPr>
      <w:r>
        <w:rPr>
          <w:rFonts w:ascii="Times New Roman" w:hAnsi="Times New Roman"/>
          <w:b/>
          <w:i w:val="false"/>
          <w:color w:val="000000"/>
          <w:sz w:val="22"/>
        </w:rPr>
        <w:t>751—2.5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from which those portions for which such confidential record treatment has been requested have been deleted. If the original record is being submitted to the commission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commission does not request that it be withheld from public inspection under Iowa Code section </w:t>
      </w:r>
      <w:hyperlink r:id="rId22">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24">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w:t>
      </w:r>
      <w:r>
        <w:rPr>
          <w:rFonts w:ascii="Times New Roman" w:hAnsi="Times New Roman"/>
          <w:b w:val="false"/>
          <w:i w:val="false"/>
          <w:color w:val="000000"/>
          <w:sz w:val="22"/>
        </w:rPr>
        <w:t> </w:t>
      </w:r>
      <w:r>
        <w:rPr>
          <w:rFonts w:ascii="Times New Roman" w:hAnsi="Times New Roman"/>
          <w:b w:val="false"/>
          <w:i/>
          <w:color w:val="000000"/>
          <w:sz w:val="22"/>
        </w:rPr>
        <w:t xml:space="preserve">Processing of business confidentiality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Applicability/availability. </w:t>
      </w:r>
      <w:r>
        <w:rPr>
          <w:rFonts w:ascii="Times New Roman" w:hAnsi="Times New Roman"/>
          <w:b w:val="false"/>
          <w:i w:val="false"/>
          <w:color w:val="000000"/>
          <w:sz w:val="22"/>
        </w:rPr>
        <w:t xml:space="preserve">Businesses which provide information to the commission in applications, reports or otherwise in recorded form, or from or about which information is obtained and recorded by the commission, may request that information not be disclosed to others for reasons of business confidentiality. Until such time as a request for confidentiality is received by the commission, the information provided to the commission will be available to the public pursuant to subrule </w:t>
      </w:r>
      <w:hyperlink r:id="rId25">
        <w:r>
          <w:rPr>
            <w:rStyle w:val="Hyperlink"/>
            <w:rFonts w:ascii="Times New Roman" w:hAnsi="Times New Roman"/>
            <w:b w:val="false"/>
            <w:i w:val="false"/>
            <w:color w:val="000000"/>
            <w:sz w:val="22"/>
          </w:rPr>
          <w:t>2.3(3)</w:t>
        </w:r>
      </w:hyperlink>
      <w:r>
        <w:rPr>
          <w:rFonts w:ascii="Times New Roman" w:hAnsi="Times New Roman"/>
          <w:b w:val="false"/>
          <w:i w:val="false"/>
          <w:color w:val="000000"/>
          <w:sz w:val="22"/>
        </w:rPr>
        <w:t>. If a claim is received after the information itself is received, the commission will make such efforts as are administratively practicable to associate the claim with all copies of the previously received information. However, the commission cannot ensure that such efforts will be effective, in light of the possibility of prior disclosure or dissemination of the information beyond the commission’s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A business which submits information to the commission may assert a business confidentiality claim in the manner prescribed in the application or instruction, if any, otherwise by placing on or attaching to the information, at the time it is submitted, a cover sheet, stamped or typed legend, or other suitable form of notice employing language such as “trade secret,” “proprietary,” or “company confidential.” When only a portion of the information is claimed to be confidential, only that portion shall be deleted from the application, report or other recorded submission, with appropriate reference to a separate claim for business confidentiality, which separate claim shall be submitted as specified above. If a request not to disclose information is filed with the commission, the party shall file together with the document a second copy of the document from which has been deleted the information for which such party wishes to claim confidential treatment. The business shall conspicuously indicate on the face of the original document that it is confidential information and shall file a claim for confidential status in accordance with the provisions of </w:t>
      </w:r>
      <w:hyperlink r:id="rId26">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A business which has reason to believe that the commission has received information which the business asserts to be confidential may request that such information, described with reasonable specificity, be maintained as confidential, in the same manner as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claim. </w:t>
      </w:r>
      <w:r>
        <w:rPr>
          <w:rFonts w:ascii="Times New Roman" w:hAnsi="Times New Roman"/>
          <w:b w:val="false"/>
          <w:i w:val="false"/>
          <w:color w:val="000000"/>
          <w:sz w:val="22"/>
        </w:rPr>
        <w:t>All claims for confidentiality must be substantiated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all measures the business has taken to protect the confidentiality of the information, and a statement of intent to continue to take such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Practices and policies of other businesses, if known, regarding confidentiality of similar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information is not, and has not been, reasonably attainable without the consent of the business by other persons other than government bodies by use of legitimate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demonstrating that disclosure of the information is likely to cause substantial harm to the business’s competitive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reference to any other determinations of confidential status of the information or similar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Initial action by commission. </w:t>
      </w:r>
      <w:r>
        <w:rPr>
          <w:rFonts w:ascii="Times New Roman" w:hAnsi="Times New Roman"/>
          <w:b w:val="false"/>
          <w:i w:val="false"/>
          <w:color w:val="000000"/>
          <w:sz w:val="22"/>
        </w:rPr>
        <w:t xml:space="preserve">All claims will be reviewed within ten days of receipt for completeness. If the claim does not include the substantiation required by </w:t>
      </w:r>
      <w:hyperlink r:id="rId27">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business making the claim will be so notified by certified mail. If the substantiation or comment regarding the inapplicability of </w:t>
      </w:r>
      <w:hyperlink r:id="rId28">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r>
        <w:rPr>
          <w:rFonts w:ascii="Times New Roman" w:hAnsi="Times New Roman"/>
          <w:b w:val="false"/>
          <w:i w:val="false"/>
          <w:color w:val="000000"/>
          <w:sz w:val="22"/>
        </w:rPr>
        <w:t xml:space="preserve"> is not received by the commission within ten days of the date on the return receipt, the commission will place the information in the public file. Otherwise, all information claimed to be confidential will be treated as such by the commission until further notice. A timely response from the notice under this paragraph will be ruled on by the commission within ten days, based on the compliance with </w:t>
      </w:r>
      <w:hyperlink r:id="rId29">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Initiation of official determination. </w:t>
      </w:r>
      <w:r>
        <w:rPr>
          <w:rFonts w:ascii="Times New Roman" w:hAnsi="Times New Roman"/>
          <w:b w:val="false"/>
          <w:i w:val="false"/>
          <w:color w:val="000000"/>
          <w:sz w:val="22"/>
        </w:rPr>
        <w:t xml:space="preserve">All claims not rejected under </w:t>
      </w:r>
      <w:hyperlink r:id="rId30">
        <w:r>
          <w:rPr>
            <w:rStyle w:val="Hyperlink"/>
            <w:rFonts w:ascii="Times New Roman" w:hAnsi="Times New Roman"/>
            <w:b w:val="false"/>
            <w:i w:val="false"/>
            <w:color w:val="000000"/>
            <w:sz w:val="22"/>
          </w:rPr>
          <w:t>2.5(7)</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receive an official determination when a request for disclosure covering such information is received by the commission or when the commission deems it advisable to make a determination because a request for disclosure is likely to be received or because of administrative burdens in maintaining the information confidential. The procedures and criteria below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Substantive criteria for use in confidentiality determinations. </w:t>
      </w:r>
      <w:r>
        <w:rPr>
          <w:rFonts w:ascii="Times New Roman" w:hAnsi="Times New Roman"/>
          <w:b w:val="false"/>
          <w:i w:val="false"/>
          <w:color w:val="000000"/>
          <w:sz w:val="22"/>
        </w:rPr>
        <w:t>Determinations shall hold that business information is entitled to confidential treatment for the benefit of a particular person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business has taken and intends to continue to take reasonable measures to protect the confidentiality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information is not readily obtainable by others by legitimate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 is not unreasonable in view of the nature of the information, the interests, and normal practices of the business, and the practices of other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statute or rule specifically requires disclosure of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a substantial likelihood that disclosure of the information would cause substantial harm to the competitive position of the business.</w:t>
      </w:r>
    </w:p>
    <w:p>
      <w:pPr>
        <w:spacing w:before="0" w:after="0"/>
        <w:ind w:left="120"/>
        <w:jc w:val="both"/>
      </w:pPr>
      <w:r>
        <w:rPr>
          <w:rFonts w:ascii="Times New Roman" w:hAnsi="Times New Roman"/>
          <w:b w:val="false"/>
          <w:i w:val="false"/>
          <w:color w:val="000000"/>
          <w:sz w:val="22"/>
        </w:rPr>
        <w:t>Prior determinations by the courts, the commission or other agencies on the information or similar information shall be given due consideration and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Preliminary determination—opportunity for comment. </w:t>
      </w:r>
      <w:r>
        <w:rPr>
          <w:rFonts w:ascii="Times New Roman" w:hAnsi="Times New Roman"/>
          <w:b w:val="false"/>
          <w:i w:val="false"/>
          <w:color w:val="000000"/>
          <w:sz w:val="22"/>
        </w:rPr>
        <w:t>The commission shall transmit its preliminary determination regarding a claim for business confidentiality to the claimant by certified mail, notifying the claimant of the opportunity to provide comments within ten days, subject to reasonable extension upon written request, and that failure to comment will be construed to indicate agreement with the preliminary determination. If the determination is in response to a request for disclosure, the person requesting the disclosure shall be sent a similar notice in the same manner within ten days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Final determination. </w:t>
      </w:r>
      <w:r>
        <w:rPr>
          <w:rFonts w:ascii="Times New Roman" w:hAnsi="Times New Roman"/>
          <w:b w:val="false"/>
          <w:i w:val="false"/>
          <w:color w:val="000000"/>
          <w:sz w:val="22"/>
        </w:rPr>
        <w:t>A final decision shall be issued within ten days after the close of the comment period to the preliminary determination. If any substantial comments are received, the final decision shall be made by the executive director or the commission’s designee. If no substantial comments are received, the claimant and the person requesting disclosure, if any, shall be notified that the preliminary determination is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Contested case status. </w:t>
      </w:r>
      <w:r>
        <w:rPr>
          <w:rFonts w:ascii="Times New Roman" w:hAnsi="Times New Roman"/>
          <w:b w:val="false"/>
          <w:i w:val="false"/>
          <w:color w:val="000000"/>
          <w:sz w:val="22"/>
        </w:rPr>
        <w:t xml:space="preserve">All procedures within this rule shall not be considered contested case proceedings as provided in Iowa Code chapter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751—2.6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commission proceeding. Requester shall send the request to review such a record or the written statement of additions, dissents or objections to the custodian or to the attorney general. The request to review a written statement must be dated and signed by requester and shall include the current address and telephone number of the requester or the requester’s representative.</w:t>
      </w:r>
    </w:p>
    <w:p>
      <w:pPr>
        <w:spacing w:before="210" w:after="0"/>
        <w:ind w:left="120"/>
        <w:jc w:val="both"/>
      </w:pPr>
      <w:r>
        <w:rPr>
          <w:rFonts w:ascii="Times New Roman" w:hAnsi="Times New Roman"/>
          <w:b/>
          <w:i w:val="false"/>
          <w:color w:val="000000"/>
          <w:sz w:val="22"/>
        </w:rPr>
        <w:t>751—2.7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counsel on behalf of a person who is the subject of a confidential record is deemed to constitute consent for the commission to disclose records about that person to the person’s attorney.</w:t>
      </w:r>
    </w:p>
    <w:p>
      <w:pPr>
        <w:spacing w:before="210" w:after="0"/>
        <w:ind w:left="120"/>
        <w:jc w:val="both"/>
      </w:pPr>
      <w:r>
        <w:rPr>
          <w:rFonts w:ascii="Times New Roman" w:hAnsi="Times New Roman"/>
          <w:b/>
          <w:i w:val="false"/>
          <w:color w:val="000000"/>
          <w:sz w:val="22"/>
        </w:rPr>
        <w:t>751—2.8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a commission form requests a person to supply information about that person, the commission shall notify the person of the use that will be made of the information, which persons outside the commission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 Notice need not be given in connection with discovery requests in litigation or administrative proceedings, subpoenas, investigations of possible violations of law or similar demands for information.</w:t>
      </w:r>
    </w:p>
    <w:p>
      <w:pPr>
        <w:spacing w:before="0" w:after="0"/>
        <w:ind w:left="120"/>
        <w:jc w:val="both"/>
      </w:pPr>
      <w:r>
        <w:rPr>
          <w:rFonts w:ascii="Times New Roman" w:hAnsi="Times New Roman"/>
          <w:b/>
          <w:i w:val="false"/>
          <w:color w:val="000000"/>
          <w:sz w:val="22"/>
        </w:rPr>
        <w:t>751—2.9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32">
        <w:r>
          <w:rPr>
            <w:rStyle w:val="Hyperlink"/>
            <w:rFonts w:ascii="Times New Roman" w:hAnsi="Times New Roman"/>
            <w:b w:val="false"/>
            <w:i w:val="false"/>
            <w:color w:val="000000"/>
            <w:sz w:val="22"/>
          </w:rPr>
          <w:t>751—2.10</w:t>
        </w:r>
      </w:hyperlink>
      <w:r>
        <w:rPr>
          <w:rFonts w:ascii="Times New Roman" w:hAnsi="Times New Roman"/>
          <w:b w:val="false"/>
          <w:i w:val="false"/>
          <w:color w:val="000000"/>
          <w:sz w:val="22"/>
        </w:rPr>
        <w:t>(17A,22)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commission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commission or to an instrumentality of any governmental jurisdiction within or under the control of the United States for a civil or criminal law enforcement activity if the activity is authorized by law, and if an authorized representative of such government commission or instrumentality has submitted a written request to the commission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751—2.10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3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commission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commission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commission or officer which this office is advising or representing in the matter in question or to the department of inspections and appeals for matters in which it is performing services or functions on behalf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 of information within the commission,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commission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751—2.11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commission disclosure of confidential records as provided in rule </w:t>
      </w:r>
      <w:hyperlink r:id="rId34">
        <w:r>
          <w:rPr>
            <w:rStyle w:val="Hyperlink"/>
            <w:rFonts w:ascii="Times New Roman" w:hAnsi="Times New Roman"/>
            <w:b w:val="false"/>
            <w:i w:val="false"/>
            <w:color w:val="000000"/>
            <w:sz w:val="22"/>
          </w:rPr>
          <w:t>751—2.7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commission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751—2.12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35">
        <w:r>
          <w:rPr>
            <w:rStyle w:val="Hyperlink"/>
            <w:rFonts w:ascii="Times New Roman" w:hAnsi="Times New Roman"/>
            <w:b w:val="false"/>
            <w:i w:val="false"/>
            <w:color w:val="000000"/>
            <w:sz w:val="22"/>
          </w:rPr>
          <w:t>751—2.6</w:t>
        </w:r>
      </w:hyperlink>
      <w:r>
        <w:rPr>
          <w:rFonts w:ascii="Times New Roman" w:hAnsi="Times New Roman"/>
          <w:b w:val="false"/>
          <w:i w:val="false"/>
          <w:color w:val="000000"/>
          <w:sz w:val="22"/>
        </w:rPr>
        <w:t>(17A,22). However, the commission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commission need not be disclosed directly or indirectly to the subject of the information when the information is authorized to be held confidential pursuant to Iowa Code section </w:t>
      </w:r>
      <w:hyperlink r:id="rId36">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37">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commission may take reasonable steps to protect confidential information relating to another subject.</w:t>
      </w:r>
    </w:p>
    <w:p>
      <w:pPr>
        <w:spacing w:before="0" w:after="0"/>
        <w:ind w:left="120"/>
        <w:jc w:val="both"/>
      </w:pPr>
      <w:r>
        <w:rPr>
          <w:rFonts w:ascii="Times New Roman" w:hAnsi="Times New Roman"/>
          <w:b/>
          <w:i w:val="false"/>
          <w:color w:val="000000"/>
          <w:sz w:val="22"/>
        </w:rPr>
        <w:t>751—2.13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Commission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Sealed bids received prior to the time set for public opening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Bids that are opened and only the vendor’s name is announced. The proposals will remain confidential until the proposals have been evaluated and the notice of intent to award a contract is made. See Iowa Code section </w:t>
      </w:r>
      <w:hyperlink r:id="rId38">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Tax records made available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3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Minutes of closed meetings of a government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40">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Those portions of commission staff manuals, instructions or other statements issued which set forth criteria or guidelines to be used by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4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R.C.P. 122(c), Fed. R. Civ. P. 26(b)(3), and case law. Attorney-client communications are confidential under Iowa Code sections </w:t>
      </w:r>
      <w:hyperlink r:id="rId4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Trade secrets which are recognized and protected as such by law including but not limited to network plans from authorized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Reports to the commission and the agency which, if released, would give advantage to competitors and serve no public purpose including network redesign and engineering or other research and development working papers for improvement or enhancement of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data processing software developed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concerning security procedures or emergency preparedness developed and maintained by the commission or other federal or state agency for the protection of governmental employees, visitors to the agency, persons in the care, custody, or under the control of the agency, or property under the jurisdiction of the agency, if disclosure could reasonably be expected to jeopardize such employees, visitors, or property. Pursuant to Iowa Code section </w:t>
      </w:r>
      <w:hyperlink r:id="rId46">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 specific records or classes of records to which this protection also applies may include specific information related to the physical network, contract- and vendor-related records and information associated with security and emergency preparedness, and similar or related records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commission may have discretion to disclose some confidential records which are exempt from disclosure under Iowa Code section </w:t>
      </w:r>
      <w:hyperlink r:id="rId4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48">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 xml:space="preserve">(17A,22). If the commission initially determines that it will release such records, the commission may, where appropriate, notify interested parties and withhold the records from inspection as provided in subrule </w:t>
      </w:r>
      <w:hyperlink r:id="rId49">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2497C</w:t>
      </w:r>
      <w:r>
        <w:rPr>
          <w:rFonts w:ascii="Times New Roman" w:hAnsi="Times New Roman"/>
          <w:b w:val="false"/>
          <w:i w:val="false"/>
          <w:color w:val="000000"/>
          <w:sz w:val="16"/>
        </w:rPr>
        <w:t>, IAB 4/13/16, effective 3/25/16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commission by personal identifier in record systems as defined in rule </w:t>
      </w:r>
      <w:hyperlink r:id="rId50">
        <w:r>
          <w:rPr>
            <w:rStyle w:val="Hyperlink"/>
            <w:rFonts w:ascii="Times New Roman" w:hAnsi="Times New Roman"/>
            <w:b w:val="false"/>
            <w:i w:val="false"/>
            <w:color w:val="000000"/>
            <w:sz w:val="22"/>
          </w:rPr>
          <w:t>751—2.2</w:t>
        </w:r>
      </w:hyperlink>
      <w:r>
        <w:rPr>
          <w:rFonts w:ascii="Times New Roman" w:hAnsi="Times New Roman"/>
          <w:b w:val="false"/>
          <w:i w:val="false"/>
          <w:color w:val="000000"/>
          <w:sz w:val="22"/>
        </w:rPr>
        <w:t>(17A,22). For each record system, this rule describes the legal authority for the collection of that information and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commission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Vendor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 for contractors performing work for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val="false"/>
          <w:color w:val="000000"/>
          <w:sz w:val="22"/>
        </w:rPr>
        <w:t>Referrals to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val="false"/>
          <w:color w:val="000000"/>
          <w:sz w:val="22"/>
        </w:rPr>
        <w:t>Contract and lease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val="false"/>
          <w:color w:val="000000"/>
          <w:sz w:val="22"/>
        </w:rPr>
        <w:t>Accounts receivable and accounts payable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val="false"/>
          <w:color w:val="000000"/>
          <w:sz w:val="22"/>
        </w:rPr>
        <w:t>Various grant planning files, confidential trade secrets, litigation files.</w:t>
      </w:r>
    </w:p>
    <w:p>
      <w:pPr>
        <w:spacing w:before="0" w:after="0"/>
        <w:ind w:left="120"/>
        <w:jc w:val="both"/>
      </w:pPr>
      <w:r>
        <w:rPr>
          <w:rFonts w:ascii="Times New Roman" w:hAnsi="Times New Roman"/>
          <w:b w:val="false"/>
          <w:i w:val="false"/>
          <w:color w:val="000000"/>
          <w:sz w:val="22"/>
        </w:rPr>
        <w:t xml:space="preserve">All of the above-listed records are collected pursuant to the authority of Iowa Code Supplement chapter </w:t>
      </w:r>
      <w:hyperlink r:id="rId51">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All are stored in paper form with those items noted by an asterisk (*) also stored in electronic form. Supplementary records in these categories are stored in paper form or on microfilm or microfiche. None of the information stored can be matched, collated or compared.</w:t>
      </w:r>
    </w:p>
    <w:p>
      <w:pPr>
        <w:spacing w:before="0" w:after="0"/>
        <w:ind w:left="120"/>
        <w:jc w:val="both"/>
      </w:pPr>
      <w:r>
        <w:rPr>
          <w:rFonts w:ascii="Times New Roman" w:hAnsi="Times New Roman"/>
          <w:b/>
          <w:i w:val="false"/>
          <w:color w:val="000000"/>
          <w:sz w:val="22"/>
        </w:rPr>
        <w:t>751—2.15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commission other than record systems as defined in rule </w:t>
      </w:r>
      <w:hyperlink r:id="rId52">
        <w:r>
          <w:rPr>
            <w:rStyle w:val="Hyperlink"/>
            <w:rFonts w:ascii="Times New Roman" w:hAnsi="Times New Roman"/>
            <w:b w:val="false"/>
            <w:i w:val="false"/>
            <w:color w:val="000000"/>
            <w:sz w:val="22"/>
          </w:rPr>
          <w:t>751—2.2</w:t>
        </w:r>
      </w:hyperlink>
      <w:r>
        <w:rPr>
          <w:rFonts w:ascii="Times New Roman" w:hAnsi="Times New Roman"/>
          <w:b w:val="false"/>
          <w:i w:val="false"/>
          <w:color w:val="000000"/>
          <w:sz w:val="22"/>
        </w:rPr>
        <w:t xml:space="preserve">(17A,22). These records are routinely available to the public. However, the commission’s files of these records may contain confidential information designated as confidential by the originator of the records in conformance with Iowa Code chapter </w:t>
      </w:r>
      <w:hyperlink r:id="rId5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In addition, some records may contain information about individuals. All storage is in paper form with those items noted by an asterisk (*) also stored in electronic form. None of the information can be matched, collated or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5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Commission records. </w:t>
      </w:r>
      <w:r>
        <w:rPr>
          <w:rFonts w:ascii="Times New Roman" w:hAnsi="Times New Roman"/>
          <w:b w:val="false"/>
          <w:i w:val="false"/>
          <w:color w:val="000000"/>
          <w:sz w:val="22"/>
        </w:rPr>
        <w:t xml:space="preserve">Agendas, minutes and materials presented to the commission are available from the office of the executive director, except these records concerning closed sessions which are confidential under Iowa Code section </w:t>
      </w:r>
      <w:hyperlink r:id="rId55">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Meeting participants. </w:t>
      </w:r>
      <w:r>
        <w:rPr>
          <w:rFonts w:ascii="Times New Roman" w:hAnsi="Times New Roman"/>
          <w:b w:val="false"/>
          <w:i w:val="false"/>
          <w:color w:val="000000"/>
          <w:sz w:val="22"/>
        </w:rPr>
        <w:t xml:space="preserve">Commission records contain information about people who participate in meetings. This information is collected pursuant to Iowa Code section </w:t>
      </w:r>
      <w:hyperlink r:id="rId56">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and commission newsletters, for example, are available from the commission offices for public information. Commission news releases, project reports, and newsletters may contain information about individuals, including commission staff or members of the commission, the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commission programs are available from the commission offices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commission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commission’s policy manual, containing the policies and procedures for programs administered by the commission, is available in the office of the commission.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Asset files. </w:t>
      </w:r>
      <w:r>
        <w:rPr>
          <w:rFonts w:ascii="Times New Roman" w:hAnsi="Times New Roman"/>
          <w:b w:val="false"/>
          <w:i w:val="false"/>
          <w:color w:val="000000"/>
          <w:sz w:val="22"/>
        </w:rPr>
        <w:t>Asset management database and inventory database contain a listing of the assets owned by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2.15(9)</w:t>
      </w:r>
      <w:r>
        <w:rPr>
          <w:rFonts w:ascii="Times New Roman" w:hAnsi="Times New Roman"/>
          <w:b w:val="false"/>
          <w:i w:val="false"/>
          <w:color w:val="000000"/>
          <w:sz w:val="22"/>
        </w:rPr>
        <w:t> </w:t>
      </w:r>
      <w:r>
        <w:rPr>
          <w:rFonts w:ascii="Times New Roman" w:hAnsi="Times New Roman"/>
          <w:b w:val="false"/>
          <w:i/>
          <w:color w:val="000000"/>
          <w:sz w:val="22"/>
        </w:rPr>
        <w:t xml:space="preserve">Mailing lists/contact lists. </w:t>
      </w:r>
      <w:r>
        <w:rPr>
          <w:rFonts w:ascii="Times New Roman" w:hAnsi="Times New Roman"/>
          <w:b w:val="false"/>
          <w:i w:val="false"/>
          <w:color w:val="000000"/>
          <w:sz w:val="22"/>
        </w:rPr>
        <w:t>Names, mailing addresses, and telephone numbers of state employees, commission members, officials in government of other states, and members of the general public*, for example, may be used for distribution of informational material, such as newsletters, policy directives or educational bulletins. They are also used to provide contacts for coordination of services or as reference information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w:t>
      </w:r>
      <w:r>
        <w:rPr>
          <w:rFonts w:ascii="Times New Roman" w:hAnsi="Times New Roman"/>
          <w:b w:val="false"/>
          <w:i w:val="false"/>
          <w:color w:val="000000"/>
          <w:sz w:val="22"/>
        </w:rPr>
        <w:t> </w:t>
      </w:r>
      <w:r>
        <w:rPr>
          <w:rFonts w:ascii="Times New Roman" w:hAnsi="Times New Roman"/>
          <w:b w:val="false"/>
          <w:i/>
          <w:color w:val="000000"/>
          <w:sz w:val="22"/>
        </w:rPr>
        <w:t xml:space="preserve">Authorized user lists. </w:t>
      </w:r>
      <w:r>
        <w:rPr>
          <w:rFonts w:ascii="Times New Roman" w:hAnsi="Times New Roman"/>
          <w:b w:val="false"/>
          <w:i w:val="false"/>
          <w:color w:val="000000"/>
          <w:sz w:val="22"/>
        </w:rPr>
        <w:t>The network maintains a list of persons authorized to use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w:t>
      </w:r>
      <w:r>
        <w:rPr>
          <w:rFonts w:ascii="Times New Roman" w:hAnsi="Times New Roman"/>
          <w:b w:val="false"/>
          <w:i w:val="false"/>
          <w:color w:val="000000"/>
          <w:sz w:val="22"/>
        </w:rPr>
        <w:t> </w:t>
      </w:r>
      <w:r>
        <w:rPr>
          <w:rFonts w:ascii="Times New Roman" w:hAnsi="Times New Roman"/>
          <w:b w:val="false"/>
          <w:i/>
          <w:color w:val="000000"/>
          <w:sz w:val="22"/>
        </w:rPr>
        <w:t xml:space="preserve">Bid/purchasing process. </w:t>
      </w:r>
      <w:r>
        <w:rPr>
          <w:rFonts w:ascii="Times New Roman" w:hAnsi="Times New Roman"/>
          <w:b w:val="false"/>
          <w:i w:val="false"/>
          <w:color w:val="000000"/>
          <w:sz w:val="22"/>
        </w:rPr>
        <w:t>For example, specifications, proposals, bid documents, awards, contracts, agreements, leases, performance bonds, requisitions, purchase orders, supply orders,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w:t>
      </w:r>
      <w:r>
        <w:rPr>
          <w:rFonts w:ascii="Times New Roman" w:hAnsi="Times New Roman"/>
          <w:b w:val="false"/>
          <w:i w:val="false"/>
          <w:color w:val="000000"/>
          <w:sz w:val="22"/>
        </w:rPr>
        <w:t> </w:t>
      </w:r>
      <w:r>
        <w:rPr>
          <w:rFonts w:ascii="Times New Roman" w:hAnsi="Times New Roman"/>
          <w:b w:val="false"/>
          <w:i/>
          <w:color w:val="000000"/>
          <w:sz w:val="22"/>
        </w:rPr>
        <w:t xml:space="preserve">Project files. </w:t>
      </w:r>
      <w:r>
        <w:rPr>
          <w:rFonts w:ascii="Times New Roman" w:hAnsi="Times New Roman"/>
          <w:b w:val="false"/>
          <w:i w:val="false"/>
          <w:color w:val="000000"/>
          <w:sz w:val="22"/>
        </w:rPr>
        <w:t>For example, plans, specifications, contracts, studies, drawings, photos, blueprints, requests for services, lease/rental files, and 28E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files. </w:t>
      </w:r>
      <w:r>
        <w:rPr>
          <w:rFonts w:ascii="Times New Roman" w:hAnsi="Times New Roman"/>
          <w:b w:val="false"/>
          <w:i w:val="false"/>
          <w:color w:val="000000"/>
          <w:sz w:val="22"/>
        </w:rPr>
        <w:t>For example, operations logs, data base user requests, job number maintenance/update, data entry format book, integrated data dictionary, computer output forms designations, system software, hardware/software documentation and configurations, problem determinations and resolutions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Reports: For example, weekly, monthly, annual, biennial, statistical, analysis, and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Correspondence: For example, public, interdepartmental, and internal.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Organizational charts, and table of authorized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Memberships: Professional/technical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Planning: Disaster recovery plans, emergency operation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Budget and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Accounting records such as accounts receivable, accounts payable, receipts, invoices, claims, vouchers, and departmental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Legislative files such as pending bills, enrolled bills, legislative proposals, and copies of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 are open.</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7">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Iowa Code Supplement section </w:t>
      </w:r>
      <w:hyperlink r:id="rId58">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1996 Iowa Acts, House File 2407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[Filed Emergency After Notice ARC 2497C</w:t>
      </w:r>
      <w:r>
        <w:rPr>
          <w:rFonts w:ascii="Times New Roman" w:hAnsi="Times New Roman"/>
          <w:b w:val="false"/>
          <w:i w:val="false"/>
          <w:color w:val="000000"/>
          <w:sz w:val="21"/>
        </w:rPr>
        <w:t xml:space="preserve"> (Notice ARC 2381C, IAB 2/3/16)</w:t>
      </w:r>
      <w:r>
        <w:rPr>
          <w:rFonts w:ascii="Times New Roman" w:hAnsi="Times New Roman"/>
          <w:b w:val="false"/>
          <w:i w:val="false"/>
          <w:color w:val="000000"/>
          <w:sz w:val="21"/>
        </w:rPr>
        <w:t>, IAB 4/13/16, effective 3/25/16]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11.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2.1.pdf" Type="http://schemas.openxmlformats.org/officeDocument/2006/relationships/hyperlink" Id="rId10"/>
    <Relationship TargetMode="External" Target="https://www.legis.iowa.gov/docs/iac/rule/751.1.6.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22.10.pdf" Type="http://schemas.openxmlformats.org/officeDocument/2006/relationships/hyperlink" Id="rId13"/>
    <Relationship TargetMode="External" Target="https://www.legis.iowa.gov/docs/ico/chapter/22.8.pdf" Type="http://schemas.openxmlformats.org/officeDocument/2006/relationships/hyperlink" Id="rId14"/>
    <Relationship TargetMode="External" Target="https://www.legis.iowa.gov/docs/ico/chapter/22.10.pdf" Type="http://schemas.openxmlformats.org/officeDocument/2006/relationships/hyperlink" Id="rId15"/>
    <Relationship TargetMode="External" Target="https://www.legis.iowa.gov/docs/iac/rule/751.2.4.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ac/rule/751.2.3.pdf" Type="http://schemas.openxmlformats.org/officeDocument/2006/relationships/hyperlink" Id="rId18"/>
    <Relationship TargetMode="External" Target="https://www.legis.iowa.gov/docs/ico/chapter/22.8.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22.8.pdf" Type="http://schemas.openxmlformats.org/officeDocument/2006/relationships/hyperlink" Id="rId24"/>
    <Relationship TargetMode="External" Target="https://www.legis.iowa.gov/docs/iac/rule/751.2.3.pdf" Type="http://schemas.openxmlformats.org/officeDocument/2006/relationships/hyperlink" Id="rId25"/>
    <Relationship TargetMode="External" Target="https://www.legis.iowa.gov/docs/iac/rule/751.2.5.pdf" Type="http://schemas.openxmlformats.org/officeDocument/2006/relationships/hyperlink" Id="rId26"/>
    <Relationship TargetMode="External" Target="https://www.legis.iowa.gov/docs/iac/rule/751.2.5.pdf" Type="http://schemas.openxmlformats.org/officeDocument/2006/relationships/hyperlink" Id="rId27"/>
    <Relationship TargetMode="External" Target="https://www.legis.iowa.gov/docs/iac/rule/751.2.5.pdf" Type="http://schemas.openxmlformats.org/officeDocument/2006/relationships/hyperlink" Id="rId28"/>
    <Relationship TargetMode="External" Target="https://www.legis.iowa.gov/docs/iac/rule/751.2.5.pdf" Type="http://schemas.openxmlformats.org/officeDocument/2006/relationships/hyperlink" Id="rId29"/>
    <Relationship TargetMode="External" Target="https://www.legis.iowa.gov/docs/iac/rule/751.2.5.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ac/rule/751.2.10.pdf" Type="http://schemas.openxmlformats.org/officeDocument/2006/relationships/hyperlink" Id="rId32"/>
    <Relationship TargetMode="External" Target="https://www.legis.iowa.gov/docs/ico/chapter/22.pdf" Type="http://schemas.openxmlformats.org/officeDocument/2006/relationships/hyperlink" Id="rId33"/>
    <Relationship TargetMode="External" Target="https://www.legis.iowa.gov/docs/iac/rule/751.2.7.pdf" Type="http://schemas.openxmlformats.org/officeDocument/2006/relationships/hyperlink" Id="rId34"/>
    <Relationship TargetMode="External" Target="https://www.legis.iowa.gov/docs/iac/rule/751.2.6.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72.3.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17A.3.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622.10.pdf" Type="http://schemas.openxmlformats.org/officeDocument/2006/relationships/hyperlink" Id="rId42"/>
    <Relationship TargetMode="External" Target="https://www.legis.iowa.gov/docs/ico/chapter/622.11.pdf" Type="http://schemas.openxmlformats.org/officeDocument/2006/relationships/hyperlink" Id="rId43"/>
    <Relationship TargetMode="External" Target="https://www.legis.iowa.gov/docs/ico/chapter/622.10.pdf" Type="http://schemas.openxmlformats.org/officeDocument/2006/relationships/hyperlink" Id="rId44"/>
    <Relationship TargetMode="External" Target="https://www.legis.iowa.gov/docs/ico/chapter/622.11.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ac/rule/751.2.4.pdf" Type="http://schemas.openxmlformats.org/officeDocument/2006/relationships/hyperlink" Id="rId48"/>
    <Relationship TargetMode="External" Target="https://www.legis.iowa.gov/docs/iac/rule/751.2.4.pdf" Type="http://schemas.openxmlformats.org/officeDocument/2006/relationships/hyperlink" Id="rId49"/>
    <Relationship TargetMode="External" Target="https://www.legis.iowa.gov/docs/iac/rule/751.2.2.pdf" Type="http://schemas.openxmlformats.org/officeDocument/2006/relationships/hyperlink" Id="rId50"/>
    <Relationship TargetMode="External" Target="https://www.legis.iowa.gov/docs/ico/chapter/8D.pdf" Type="http://schemas.openxmlformats.org/officeDocument/2006/relationships/hyperlink" Id="rId51"/>
    <Relationship TargetMode="External" Target="https://www.legis.iowa.gov/docs/iac/rule/751.2.2.pdf" Type="http://schemas.openxmlformats.org/officeDocument/2006/relationships/hyperlink" Id="rId52"/>
    <Relationship TargetMode="External" Target="https://www.legis.iowa.gov/docs/ico/chapter/22.pdf" Type="http://schemas.openxmlformats.org/officeDocument/2006/relationships/hyperlink" Id="rId53"/>
    <Relationship TargetMode="External" Target="https://www.legis.iowa.gov/docs/ico/chapter/17A.4.pdf" Type="http://schemas.openxmlformats.org/officeDocument/2006/relationships/hyperlink" Id="rId54"/>
    <Relationship TargetMode="External" Target="https://www.legis.iowa.gov/docs/ico/chapter/21.5.pdf" Type="http://schemas.openxmlformats.org/officeDocument/2006/relationships/hyperlink" Id="rId55"/>
    <Relationship TargetMode="External" Target="https://www.legis.iowa.gov/docs/ico/chapter/21.3.pdf" Type="http://schemas.openxmlformats.org/officeDocument/2006/relationships/hyperlink" Id="rId56"/>
    <Relationship TargetMode="External" Target="https://www.legis.iowa.gov/docs/ico/chapter/22.11.pdf" Type="http://schemas.openxmlformats.org/officeDocument/2006/relationships/hyperlink" Id="rId57"/>
    <Relationship TargetMode="External" Target="https://www.legis.iowa.gov/docs/ico/chapter/8D.3.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