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SITE DEVELOPMENT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261—77.1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Purposes. </w:t>
      </w:r>
      <w:r>
        <w:rPr>
          <w:rFonts w:ascii="Times New Roman" w:hAnsi="Times New Roman"/>
          <w:b w:val="false"/>
          <w:i w:val="false"/>
          <w:color w:val="000000"/>
          <w:sz w:val="22"/>
        </w:rPr>
        <w:t>The purposes of the site development program are to establish an inventory of sites in Iowa that may be suitable for development or redevelopment and to provide consultation to local governments about site development techniques.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261—77.2</w:t>
      </w:r>
      <w:r>
        <w:rPr>
          <w:rFonts w:ascii="Times New Roman" w:hAnsi="Times New Roman"/>
          <w:b/>
          <w:i w:val="false"/>
          <w:color w:val="000000"/>
          <w:sz w:val="22"/>
        </w:rPr>
        <w:t xml:space="preserve">(15E)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establishing this program is provided in Iowa Code section </w:t>
      </w:r>
      <w:hyperlink r:id="rId5">
        <w:r>
          <w:rPr>
            <w:rStyle w:val="Hyperlink"/>
            <w:rFonts w:ascii="Times New Roman" w:hAnsi="Times New Roman"/>
            <w:b w:val="false"/>
            <w:i w:val="false"/>
            <w:color w:val="000000"/>
            <w:sz w:val="22"/>
          </w:rPr>
          <w:t>15E.18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2010 Iowa Acts, chapter 1184</w:t>
      </w:r>
      <w:r>
        <w:rPr>
          <w:rFonts w:ascii="Times New Roman" w:hAnsi="Times New Roman"/>
          <w:b w:val="false"/>
          <w:i w:val="false"/>
          <w:color w:val="000000"/>
          <w:sz w:val="22"/>
        </w:rPr>
        <w:t>, section 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261—77.3</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the entity that submits an application to the department for a certificate of readiness for a site development area or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readiness” </w:t>
      </w:r>
      <w:r>
        <w:rPr>
          <w:rFonts w:ascii="Times New Roman" w:hAnsi="Times New Roman"/>
          <w:b w:val="false"/>
          <w:i w:val="false"/>
          <w:color w:val="000000"/>
          <w:sz w:val="22"/>
        </w:rPr>
        <w:t xml:space="preserve">means a certificate issued to a local government or local economic development official for a site that is determined to be ready for development or redevelopment based on criteria set forth in rule </w:t>
      </w:r>
      <w:hyperlink r:id="rId6">
        <w:r>
          <w:rPr>
            <w:rStyle w:val="Hyperlink"/>
            <w:rFonts w:ascii="Times New Roman" w:hAnsi="Times New Roman"/>
            <w:b w:val="false"/>
            <w:i w:val="false"/>
            <w:color w:val="000000"/>
            <w:sz w:val="22"/>
          </w:rPr>
          <w:t>261—77.13</w:t>
        </w:r>
      </w:hyperlink>
      <w:r>
        <w:rPr>
          <w:rFonts w:ascii="Times New Roman" w:hAnsi="Times New Roman"/>
          <w:b w:val="false"/>
          <w:i w:val="false"/>
          <w:color w:val="000000"/>
          <w:sz w:val="22"/>
        </w:rPr>
        <w:t>(15E).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development area” </w:t>
      </w:r>
      <w:r>
        <w:rPr>
          <w:rFonts w:ascii="Times New Roman" w:hAnsi="Times New Roman"/>
          <w:b w:val="false"/>
          <w:i w:val="false"/>
          <w:color w:val="000000"/>
          <w:sz w:val="22"/>
        </w:rPr>
        <w:t>means property that is included as part of a site development plan and that is to be used or proposed to be used for development or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development techniques” </w:t>
      </w:r>
      <w:r>
        <w:rPr>
          <w:rFonts w:ascii="Times New Roman" w:hAnsi="Times New Roman"/>
          <w:b w:val="false"/>
          <w:i w:val="false"/>
          <w:color w:val="000000"/>
          <w:sz w:val="22"/>
        </w:rPr>
        <w:t>means environmental evaluations, property and wetland delineation, and historical evaluations.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261—77.4</w:t>
      </w:r>
      <w:r>
        <w:rPr>
          <w:rFonts w:ascii="Times New Roman" w:hAnsi="Times New Roman"/>
          <w:b w:val="false"/>
          <w:i w:val="false"/>
          <w:color w:val="000000"/>
          <w:sz w:val="22"/>
        </w:rPr>
        <w:t xml:space="preserve"> to </w:t>
      </w:r>
      <w:r>
        <w:rPr>
          <w:rFonts w:ascii="Times New Roman" w:hAnsi="Times New Roman"/>
          <w:b/>
          <w:i w:val="false"/>
          <w:color w:val="000000"/>
          <w:sz w:val="22"/>
        </w:rPr>
        <w:t>77.10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CERTIFICATE OF READINESS</w:t>
      </w:r>
    </w:p>
    <w:p>
      <w:pPr>
        <w:spacing w:before="0" w:after="0"/>
        <w:ind w:left="120"/>
        <w:jc w:val="both"/>
      </w:pPr>
      <w:r>
        <w:rPr>
          <w:rFonts w:ascii="Times New Roman" w:hAnsi="Times New Roman"/>
          <w:b/>
          <w:i w:val="false"/>
          <w:color w:val="000000"/>
          <w:sz w:val="22"/>
        </w:rPr>
        <w:t>261—77.11</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Eligibility. </w:t>
      </w:r>
      <w:r>
        <w:rPr>
          <w:rFonts w:ascii="Times New Roman" w:hAnsi="Times New Roman"/>
          <w:b w:val="false"/>
          <w:i w:val="false"/>
          <w:color w:val="000000"/>
          <w:sz w:val="22"/>
        </w:rPr>
        <w:t>Eligible applicants may apply to the department for a certificate of readiness which verifies that a particular site is ready for development or redevelopment. Eligible applicants include local governments or local economic development officials.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261—77.12</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review;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requests for a certificate of readiness for a site development area shall be made using the application provided by the department. The application shall include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information, including name, address, telephone number and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site development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property owner(s) related to the site development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site development plan(s) for the site development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department will review each complete application in the order the applications are received and based on the general criteria described in subrule </w:t>
      </w:r>
      <w:hyperlink r:id="rId7">
        <w:r>
          <w:rPr>
            <w:rStyle w:val="Hyperlink"/>
            <w:rFonts w:ascii="Times New Roman" w:hAnsi="Times New Roman"/>
            <w:b w:val="false"/>
            <w:i w:val="false"/>
            <w:color w:val="000000"/>
            <w:sz w:val="22"/>
          </w:rPr>
          <w:t>77.13(1)</w:t>
        </w:r>
      </w:hyperlink>
      <w:r>
        <w:rPr>
          <w:rFonts w:ascii="Times New Roman" w:hAnsi="Times New Roman"/>
          <w:b w:val="false"/>
          <w:i w:val="false"/>
          <w:color w:val="000000"/>
          <w:sz w:val="22"/>
        </w:rPr>
        <w:t>. The department will evaluate each application to identify any barriers to development or redevelopment.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The department may approve, deny or defer applications for a certificate of readiness. If the department approves an application for a certificate of readiness, the department will issue a certificate of readiness in accordance with rule </w:t>
      </w:r>
      <w:hyperlink r:id="rId8">
        <w:r>
          <w:rPr>
            <w:rStyle w:val="Hyperlink"/>
            <w:rFonts w:ascii="Times New Roman" w:hAnsi="Times New Roman"/>
            <w:b w:val="false"/>
            <w:i w:val="false"/>
            <w:color w:val="000000"/>
            <w:sz w:val="22"/>
          </w:rPr>
          <w:t>261—77.14</w:t>
        </w:r>
      </w:hyperlink>
      <w:r>
        <w:rPr>
          <w:rFonts w:ascii="Times New Roman" w:hAnsi="Times New Roman"/>
          <w:b w:val="false"/>
          <w:i w:val="false"/>
          <w:color w:val="000000"/>
          <w:sz w:val="22"/>
        </w:rPr>
        <w:t>(15E).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261—77.13</w:t>
      </w:r>
      <w:r>
        <w:rPr>
          <w:rFonts w:ascii="Times New Roman" w:hAnsi="Times New Roman"/>
          <w:b/>
          <w:i w:val="false"/>
          <w:color w:val="000000"/>
          <w:sz w:val="22"/>
        </w:rPr>
        <w:t xml:space="preserve">(15E) </w:t>
      </w:r>
      <w:r>
        <w:rPr>
          <w:rFonts w:ascii="Times New Roman" w:hAnsi="Times New Roman"/>
          <w:b/>
          <w:i w:val="false"/>
          <w:color w:val="000000"/>
          <w:sz w:val="22"/>
        </w:rPr>
        <w:t xml:space="preserve">Evaluation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evaluating applications for certificates of readiness, the department will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thoroughness and detail of the site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development plan’s regard for compliance with applicable regulations, including without limitation land-use and zoning restrictions or environmental or cultural protections.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presence of viable transportation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presence of viable utility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presence of viable vertical infrastructure, as defined in Iowa Code section </w:t>
      </w:r>
      <w:hyperlink r:id="rId9">
        <w:r>
          <w:rPr>
            <w:rStyle w:val="Hyperlink"/>
            <w:rFonts w:ascii="Times New Roman" w:hAnsi="Times New Roman"/>
            <w:b w:val="false"/>
            <w:i w:val="false"/>
            <w:color w:val="000000"/>
            <w:sz w:val="22"/>
          </w:rPr>
          <w:t>8.57</w:t>
        </w:r>
      </w:hyperlink>
      <w:r>
        <w:rPr>
          <w:rFonts w:ascii="Times New Roman" w:hAnsi="Times New Roman"/>
          <w:b w:val="false"/>
          <w:i w:val="false"/>
          <w:color w:val="000000"/>
          <w:sz w:val="22"/>
        </w:rPr>
        <w:t>, which includes existing land acquisition and construction, major renovation and major repair of buildings, all appurtenant structures, utilities, site development, and recreational trails.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geologic and natural characteristics of the site development area(s) including the proximity or inclusion of any floodplains.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ownership and control of the site development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Demonstrated support, including without limitation financial and local support, for the site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77.13(2)</w:t>
      </w:r>
      <w:r>
        <w:rPr>
          <w:rFonts w:ascii="Times New Roman" w:hAnsi="Times New Roman"/>
          <w:b w:val="false"/>
          <w:i w:val="false"/>
          <w:color w:val="000000"/>
          <w:sz w:val="22"/>
        </w:rPr>
        <w:t> </w:t>
      </w:r>
      <w:r>
        <w:rPr>
          <w:rFonts w:ascii="Times New Roman" w:hAnsi="Times New Roman"/>
          <w:b w:val="false"/>
          <w:i/>
          <w:color w:val="000000"/>
          <w:sz w:val="22"/>
        </w:rPr>
        <w:t xml:space="preserve">Additional considerations. </w:t>
      </w:r>
      <w:r>
        <w:rPr>
          <w:rFonts w:ascii="Times New Roman" w:hAnsi="Times New Roman"/>
          <w:b w:val="false"/>
          <w:i w:val="false"/>
          <w:color w:val="000000"/>
          <w:sz w:val="22"/>
        </w:rPr>
        <w:t>In addition to the general criteria described above, the department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development plan for the site development area utilizes smart planning principles, as identified by the smart planning task force created by </w:t>
      </w:r>
      <w:r>
        <w:rPr>
          <w:rFonts w:ascii="Times New Roman" w:hAnsi="Times New Roman"/>
          <w:b w:val="false"/>
          <w:i w:val="false"/>
          <w:color w:val="000000"/>
          <w:sz w:val="22"/>
        </w:rPr>
        <w:t>2010 Iowa Acts, chapter 1184</w:t>
      </w:r>
      <w:r>
        <w:rPr>
          <w:rFonts w:ascii="Times New Roman" w:hAnsi="Times New Roman"/>
          <w:b w:val="false"/>
          <w:i w:val="false"/>
          <w:color w:val="000000"/>
          <w:sz w:val="22"/>
        </w:rPr>
        <w:t>, section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development plan for the site development area utilizes sustainable design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these rules, sustainable practices include those practices in accordance with the department’s Iowa green streets criteria, which are available on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these rules, sustainable design, as defined in rule </w:t>
      </w:r>
      <w:hyperlink r:id="rId10">
        <w:r>
          <w:rPr>
            <w:rStyle w:val="Hyperlink"/>
            <w:rFonts w:ascii="Times New Roman" w:hAnsi="Times New Roman"/>
            <w:b w:val="false"/>
            <w:i w:val="false"/>
            <w:color w:val="000000"/>
            <w:sz w:val="22"/>
          </w:rPr>
          <w:t>261—65.2(15)</w:t>
        </w:r>
      </w:hyperlink>
      <w:r>
        <w:rPr>
          <w:rFonts w:ascii="Times New Roman" w:hAnsi="Times New Roman"/>
          <w:b w:val="false"/>
          <w:i w:val="false"/>
          <w:color w:val="000000"/>
          <w:sz w:val="22"/>
        </w:rPr>
        <w:t xml:space="preserve">, means construction design intended to minimize negative environmental impacts and to promote the health and comfort of building occupants, including, but not limited to, measures to reduce consumption of nonrenewable resources, minimize waste, and create healthy, productive environments. Sustainable design standards are also known as green building standards pursuant to Iowa Code section </w:t>
      </w:r>
      <w:hyperlink r:id="rId11">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261—77.14</w:t>
      </w:r>
      <w:r>
        <w:rPr>
          <w:rFonts w:ascii="Times New Roman" w:hAnsi="Times New Roman"/>
          <w:b/>
          <w:i w:val="false"/>
          <w:color w:val="000000"/>
          <w:sz w:val="22"/>
        </w:rPr>
        <w:t xml:space="preserve">(15E) </w:t>
      </w:r>
      <w:r>
        <w:rPr>
          <w:rFonts w:ascii="Times New Roman" w:hAnsi="Times New Roman"/>
          <w:b/>
          <w:i w:val="false"/>
          <w:color w:val="000000"/>
          <w:sz w:val="22"/>
        </w:rPr>
        <w:t xml:space="preserve">Certificate of readiness.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77.14(1)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Upon approval of an application for a certificate of readiness, the department will issue a certificate of readiness to the applicant. The certificate of readiness will include a short description of how the site development plan meets the general criteria described in subrule </w:t>
      </w:r>
      <w:hyperlink r:id="rId12">
        <w:r>
          <w:rPr>
            <w:rStyle w:val="Hyperlink"/>
            <w:rFonts w:ascii="Times New Roman" w:hAnsi="Times New Roman"/>
            <w:b w:val="false"/>
            <w:i w:val="false"/>
            <w:color w:val="000000"/>
            <w:sz w:val="22"/>
          </w:rPr>
          <w:t>77.13(1)</w:t>
        </w:r>
      </w:hyperlink>
      <w:r>
        <w:rPr>
          <w:rFonts w:ascii="Times New Roman" w:hAnsi="Times New Roman"/>
          <w:b w:val="false"/>
          <w:i w:val="false"/>
          <w:color w:val="000000"/>
          <w:sz w:val="22"/>
        </w:rPr>
        <w:t xml:space="preserve"> and will include whether the site development plan meets the additional considerations described in subrule </w:t>
      </w:r>
      <w:hyperlink r:id="rId13">
        <w:r>
          <w:rPr>
            <w:rStyle w:val="Hyperlink"/>
            <w:rFonts w:ascii="Times New Roman" w:hAnsi="Times New Roman"/>
            <w:b w:val="false"/>
            <w:i w:val="false"/>
            <w:color w:val="000000"/>
            <w:sz w:val="22"/>
          </w:rPr>
          <w:t>77.13(2)</w:t>
        </w:r>
      </w:hyperlink>
      <w:r>
        <w:rPr>
          <w:rFonts w:ascii="Times New Roman" w:hAnsi="Times New Roman"/>
          <w:b w:val="false"/>
          <w:i w:val="false"/>
          <w:color w:val="000000"/>
          <w:sz w:val="22"/>
        </w:rPr>
        <w:t xml:space="preserve"> and a short discussion related thereto, if applicable. The certificate of readiness will be valid for the term described on the certificate, which may vary for each site development area depending on the nature of the development and the site characteristics. In no event shall the term of a certificate exceed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77.14(2)</w:t>
      </w: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The department shall not recertify site development areas for which a certificate of readiness has expired or will expire. The local government or local economic development official responsible for the site development area shall reapply for a certificate of readiness under these rules for the site to be considered for a subsequent certificate of readiness.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261—77.15</w:t>
      </w:r>
      <w:r>
        <w:rPr>
          <w:rFonts w:ascii="Times New Roman" w:hAnsi="Times New Roman"/>
          <w:b w:val="false"/>
          <w:i w:val="false"/>
          <w:color w:val="000000"/>
          <w:sz w:val="22"/>
        </w:rPr>
        <w:t xml:space="preserve"> to </w:t>
      </w:r>
      <w:r>
        <w:rPr>
          <w:rFonts w:ascii="Times New Roman" w:hAnsi="Times New Roman"/>
          <w:b/>
          <w:i w:val="false"/>
          <w:color w:val="000000"/>
          <w:sz w:val="22"/>
        </w:rPr>
        <w:t>77.20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CONSULTATION</w:t>
      </w:r>
    </w:p>
    <w:p>
      <w:pPr>
        <w:spacing w:before="0" w:after="0"/>
        <w:ind w:left="120"/>
        <w:jc w:val="both"/>
      </w:pPr>
      <w:r>
        <w:rPr>
          <w:rFonts w:ascii="Times New Roman" w:hAnsi="Times New Roman"/>
          <w:b/>
          <w:i w:val="false"/>
          <w:color w:val="000000"/>
          <w:sz w:val="22"/>
        </w:rPr>
        <w:t>261—77.21</w:t>
      </w:r>
      <w:r>
        <w:rPr>
          <w:rFonts w:ascii="Times New Roman" w:hAnsi="Times New Roman"/>
          <w:b/>
          <w:i w:val="false"/>
          <w:color w:val="000000"/>
          <w:sz w:val="22"/>
        </w:rPr>
        <w:t xml:space="preserve">(15E) </w:t>
      </w:r>
      <w:r>
        <w:rPr>
          <w:rFonts w:ascii="Times New Roman" w:hAnsi="Times New Roman"/>
          <w:b/>
          <w:i w:val="false"/>
          <w:color w:val="000000"/>
          <w:sz w:val="22"/>
        </w:rPr>
        <w:t xml:space="preserve">Consultation.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consult with local governments and local economic development officials in regard to site development techniques. The department may contract with third parties to provide site development consultations regarding site development techniques directly to local governments and local economic development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charge a reasonable fee for consultation. A local government or local economic development official seeking assistance under subrule </w:t>
      </w:r>
      <w:hyperlink r:id="rId14">
        <w:r>
          <w:rPr>
            <w:rStyle w:val="Hyperlink"/>
            <w:rFonts w:ascii="Times New Roman" w:hAnsi="Times New Roman"/>
            <w:b w:val="false"/>
            <w:i w:val="false"/>
            <w:color w:val="000000"/>
            <w:sz w:val="22"/>
          </w:rPr>
          <w:t>77.21(1)</w:t>
        </w:r>
      </w:hyperlink>
      <w:r>
        <w:rPr>
          <w:rFonts w:ascii="Times New Roman" w:hAnsi="Times New Roman"/>
          <w:b w:val="false"/>
          <w:i w:val="false"/>
          <w:color w:val="000000"/>
          <w:sz w:val="22"/>
        </w:rPr>
        <w:t xml:space="preserve"> shall make a request to the department and provide information requested by the department for use in formulating a fee estimate and work plan. Before any work is undertaken, the department shall provide a fee estimate to the interested local government or local economic development official and a description of the services that will be provided. The fee shall be reasonable and shall cover the department’s costs of providing the service. The department may require the local government or local economic development official to enter into a contract that identifies the services to be performed and obligates the local government or local economic development official to pay the fee to the department or a third-party consultant for satisfactory completion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77.21(3)</w:t>
      </w:r>
      <w:r>
        <w:rPr>
          <w:rFonts w:ascii="Times New Roman" w:hAnsi="Times New Roman"/>
          <w:b w:val="false"/>
          <w:i w:val="false"/>
          <w:color w:val="000000"/>
          <w:sz w:val="22"/>
        </w:rPr>
        <w:t> </w:t>
      </w:r>
      <w:r>
        <w:rPr>
          <w:rFonts w:ascii="Times New Roman" w:hAnsi="Times New Roman"/>
          <w:b w:val="false"/>
          <w:i w:val="false"/>
          <w:color w:val="000000"/>
          <w:sz w:val="22"/>
        </w:rPr>
        <w:t>Applicants are not required to seek consultation under the program to be eligible to apply for a certificate of readiness and may seek consultation from the department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9485B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15E.18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2010 Iowa Acts, chapter 1184</w:t>
      </w:r>
      <w:r>
        <w:rPr>
          <w:rFonts w:ascii="Times New Roman" w:hAnsi="Times New Roman"/>
          <w:b w:val="false"/>
          <w:i w:val="false"/>
          <w:color w:val="000000"/>
          <w:sz w:val="22"/>
        </w:rPr>
        <w:t>, section 37.</w:t>
      </w:r>
    </w:p>
    <w:p>
      <w:pPr>
        <w:spacing w:before="0" w:after="0"/>
        <w:ind w:left="120"/>
        <w:jc w:val="center"/>
      </w:pPr>
      <w:r>
        <w:rPr>
          <w:rFonts w:ascii="Times New Roman" w:hAnsi="Times New Roman"/>
          <w:b w:val="false"/>
          <w:i w:val="false"/>
          <w:color w:val="000000"/>
          <w:sz w:val="21"/>
        </w:rPr>
        <w:t>[Filed ARC 9485B</w:t>
      </w:r>
      <w:r>
        <w:rPr>
          <w:rFonts w:ascii="Times New Roman" w:hAnsi="Times New Roman"/>
          <w:b w:val="false"/>
          <w:i w:val="false"/>
          <w:color w:val="000000"/>
          <w:sz w:val="21"/>
        </w:rPr>
        <w:t xml:space="preserve"> (Notice ARC 9255B, IAB 12/1/10)</w:t>
      </w:r>
      <w:r>
        <w:rPr>
          <w:rFonts w:ascii="Times New Roman" w:hAnsi="Times New Roman"/>
          <w:b w:val="false"/>
          <w:i w:val="false"/>
          <w:color w:val="000000"/>
          <w:sz w:val="21"/>
        </w:rPr>
        <w:t>, IAB 5/4/11, effective 6/8/11]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E.18.pdf" Type="http://schemas.openxmlformats.org/officeDocument/2006/relationships/hyperlink" Id="rId5"/>
    <Relationship TargetMode="External" Target="https://www.legis.iowa.gov/docs/iac/rule/261.77.13.pdf" Type="http://schemas.openxmlformats.org/officeDocument/2006/relationships/hyperlink" Id="rId6"/>
    <Relationship TargetMode="External" Target="https://www.legis.iowa.gov/docs/iac/rule/261.77.13.pdf" Type="http://schemas.openxmlformats.org/officeDocument/2006/relationships/hyperlink" Id="rId7"/>
    <Relationship TargetMode="External" Target="https://www.legis.iowa.gov/docs/iac/rule/261.77.14.pdf" Type="http://schemas.openxmlformats.org/officeDocument/2006/relationships/hyperlink" Id="rId8"/>
    <Relationship TargetMode="External" Target="https://www.legis.iowa.gov/docs/ico/chapter/8.57.pdf" Type="http://schemas.openxmlformats.org/officeDocument/2006/relationships/hyperlink" Id="rId9"/>
    <Relationship TargetMode="External" Target="https://www.legis.iowa.gov/docs/iac/rule/261.65.2.pdf" Type="http://schemas.openxmlformats.org/officeDocument/2006/relationships/hyperlink" Id="rId10"/>
    <Relationship TargetMode="External" Target="https://www.legis.iowa.gov/docs/ico/chapter/103A.8B.pdf" Type="http://schemas.openxmlformats.org/officeDocument/2006/relationships/hyperlink" Id="rId11"/>
    <Relationship TargetMode="External" Target="https://www.legis.iowa.gov/docs/iac/rule/261.77.13.pdf" Type="http://schemas.openxmlformats.org/officeDocument/2006/relationships/hyperlink" Id="rId12"/>
    <Relationship TargetMode="External" Target="https://www.legis.iowa.gov/docs/iac/rule/261.77.13.pdf" Type="http://schemas.openxmlformats.org/officeDocument/2006/relationships/hyperlink" Id="rId13"/>
    <Relationship TargetMode="External" Target="https://www.legis.iowa.gov/docs/iac/rule/261.77.21.pdf" Type="http://schemas.openxmlformats.org/officeDocument/2006/relationships/hyperlink" Id="rId14"/>
    <Relationship TargetMode="External" Target="https://www.legis.iowa.gov/docs/ico/chapter/15E.18.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