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w:t>
      </w:r>
    </w:p>
    <w:p>
      <w:pPr>
        <w:spacing w:before="0" w:after="0"/>
        <w:ind w:left="120"/>
        <w:jc w:val="center"/>
      </w:pPr>
      <w:r>
        <w:rPr>
          <w:rFonts w:ascii="Times New Roman" w:hAnsi="Times New Roman"/>
          <w:b w:val="false"/>
          <w:i w:val="false"/>
          <w:color w:val="000000"/>
          <w:sz w:val="21"/>
        </w:rPr>
        <w:t>AGGREGATE TAX CREDIT LIMIT FOR</w:t>
      </w:r>
      <w:r>
        <w:br/>
      </w:r>
      <w:r>
        <w:rPr>
          <w:rFonts w:ascii="Times New Roman" w:hAnsi="Times New Roman"/>
          <w:b w:val="false"/>
          <w:i w:val="false"/>
          <w:color w:val="000000"/>
          <w:sz w:val="21"/>
        </w:rPr>
        <w:t>CERTAIN ECONOMIC DEVELOPMENT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261—76.1</w:t>
      </w:r>
      <w:r>
        <w:rPr>
          <w:rFonts w:ascii="Times New Roman" w:hAnsi="Times New Roman"/>
          <w:b/>
          <w:i w:val="false"/>
          <w:color w:val="000000"/>
          <w:sz w:val="22"/>
        </w:rPr>
        <w:t xml:space="preserve">(15)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establishing rules governing the aggregate tax credit limit for certain economic development programs under this chapter is Iowa Code sections </w:t>
      </w:r>
      <w:hyperlink r:id="rId5">
        <w:r>
          <w:rPr>
            <w:rStyle w:val="Hyperlink"/>
            <w:rFonts w:ascii="Times New Roman" w:hAnsi="Times New Roman"/>
            <w:b w:val="false"/>
            <w:i w:val="false"/>
            <w:color w:val="000000"/>
            <w:sz w:val="22"/>
          </w:rPr>
          <w:t>15.106A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7954B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8146B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 xml:space="preserve">; </w:t>
      </w:r>
      <w:r>
        <w:rPr>
          <w:rFonts w:ascii="Times New Roman" w:hAnsi="Times New Roman"/>
          <w:b/>
          <w:i w:val="false"/>
          <w:color w:val="000000"/>
          <w:sz w:val="16"/>
        </w:rPr>
        <w:t>ARC 1573C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261—76.2</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aggregate tax credit limit for certain economic development programs is to limit the amount of tax credits awarded during a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7954B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8146B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 xml:space="preserve">; </w:t>
      </w:r>
      <w:r>
        <w:rPr>
          <w:rFonts w:ascii="Times New Roman" w:hAnsi="Times New Roman"/>
          <w:b/>
          <w:i w:val="false"/>
          <w:color w:val="000000"/>
          <w:sz w:val="16"/>
        </w:rPr>
        <w:t>ARC 1573C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261—76.3</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board in whom the powers of the authority are vested pursuant to Iowa Code chapter </w:t>
      </w:r>
      <w:hyperlink r:id="rId7">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7954B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8146B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 xml:space="preserve">; </w:t>
      </w:r>
      <w:r>
        <w:rPr>
          <w:rFonts w:ascii="Times New Roman" w:hAnsi="Times New Roman"/>
          <w:b/>
          <w:i w:val="false"/>
          <w:color w:val="000000"/>
          <w:sz w:val="16"/>
        </w:rPr>
        <w:t>ARC 1573C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261—76.4</w:t>
      </w:r>
      <w:r>
        <w:rPr>
          <w:rFonts w:ascii="Times New Roman" w:hAnsi="Times New Roman"/>
          <w:b/>
          <w:i w:val="false"/>
          <w:color w:val="000000"/>
          <w:sz w:val="22"/>
        </w:rPr>
        <w:t xml:space="preserve">(15) </w:t>
      </w:r>
      <w:r>
        <w:rPr>
          <w:rFonts w:ascii="Times New Roman" w:hAnsi="Times New Roman"/>
          <w:b/>
          <w:i w:val="false"/>
          <w:color w:val="000000"/>
          <w:sz w:val="22"/>
        </w:rPr>
        <w:t xml:space="preserve">Tax credit cap—exceeding the cap—reallocation of declinations.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76.4(1)</w:t>
      </w:r>
      <w:r>
        <w:rPr>
          <w:rFonts w:ascii="Times New Roman" w:hAnsi="Times New Roman"/>
          <w:b w:val="false"/>
          <w:i w:val="false"/>
          <w:color w:val="000000"/>
          <w:sz w:val="22"/>
        </w:rPr>
        <w:t> </w:t>
      </w:r>
      <w:r>
        <w:rPr>
          <w:rFonts w:ascii="Times New Roman" w:hAnsi="Times New Roman"/>
          <w:b w:val="false"/>
          <w:i/>
          <w:color w:val="000000"/>
          <w:sz w:val="22"/>
        </w:rPr>
        <w:t xml:space="preserve">Maximum aggregate limit on tax credits. </w:t>
      </w:r>
      <w:r>
        <w:rPr>
          <w:rFonts w:ascii="Times New Roman" w:hAnsi="Times New Roman"/>
          <w:b w:val="false"/>
          <w:i w:val="false"/>
          <w:color w:val="000000"/>
          <w:sz w:val="22"/>
        </w:rPr>
        <w:t xml:space="preserve">Except as provided in subrule </w:t>
      </w:r>
      <w:hyperlink r:id="rId8">
        <w:r>
          <w:rPr>
            <w:rStyle w:val="Hyperlink"/>
            <w:rFonts w:ascii="Times New Roman" w:hAnsi="Times New Roman"/>
            <w:b w:val="false"/>
            <w:i w:val="false"/>
            <w:color w:val="000000"/>
            <w:sz w:val="22"/>
          </w:rPr>
          <w:t>76.4(2)</w:t>
        </w:r>
      </w:hyperlink>
      <w:r>
        <w:rPr>
          <w:rFonts w:ascii="Times New Roman" w:hAnsi="Times New Roman"/>
          <w:b w:val="false"/>
          <w:i w:val="false"/>
          <w:color w:val="000000"/>
          <w:sz w:val="22"/>
        </w:rPr>
        <w:t>, the authority shall not authorize for any one fiscal year an amount of tax credits that is in excess of $170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76.4(2)</w:t>
      </w:r>
      <w:r>
        <w:rPr>
          <w:rFonts w:ascii="Times New Roman" w:hAnsi="Times New Roman"/>
          <w:b w:val="false"/>
          <w:i w:val="false"/>
          <w:color w:val="000000"/>
          <w:sz w:val="22"/>
        </w:rPr>
        <w:t> </w:t>
      </w:r>
      <w:r>
        <w:rPr>
          <w:rFonts w:ascii="Times New Roman" w:hAnsi="Times New Roman"/>
          <w:b w:val="false"/>
          <w:i/>
          <w:color w:val="000000"/>
          <w:sz w:val="22"/>
        </w:rPr>
        <w:t xml:space="preserve">Exceeding the cap. </w:t>
      </w:r>
      <w:r>
        <w:rPr>
          <w:rFonts w:ascii="Times New Roman" w:hAnsi="Times New Roman"/>
          <w:b w:val="false"/>
          <w:i w:val="false"/>
          <w:color w:val="000000"/>
          <w:sz w:val="22"/>
        </w:rPr>
        <w:t xml:space="preserve">The authority may authorize an amount of tax credits during a fiscal year that is in excess of the amount specified in subrule </w:t>
      </w:r>
      <w:hyperlink r:id="rId9">
        <w:r>
          <w:rPr>
            <w:rStyle w:val="Hyperlink"/>
            <w:rFonts w:ascii="Times New Roman" w:hAnsi="Times New Roman"/>
            <w:b w:val="false"/>
            <w:i w:val="false"/>
            <w:color w:val="000000"/>
            <w:sz w:val="22"/>
          </w:rPr>
          <w:t>76.4(1)</w:t>
        </w:r>
      </w:hyperlink>
      <w:r>
        <w:rPr>
          <w:rFonts w:ascii="Times New Roman" w:hAnsi="Times New Roman"/>
          <w:b w:val="false"/>
          <w:i w:val="false"/>
          <w:color w:val="000000"/>
          <w:sz w:val="22"/>
        </w:rPr>
        <w:t xml:space="preserve">, but the amount of such excess will not exceed 20 percent of the amount specified in subrule </w:t>
      </w:r>
      <w:hyperlink r:id="rId10">
        <w:r>
          <w:rPr>
            <w:rStyle w:val="Hyperlink"/>
            <w:rFonts w:ascii="Times New Roman" w:hAnsi="Times New Roman"/>
            <w:b w:val="false"/>
            <w:i w:val="false"/>
            <w:color w:val="000000"/>
            <w:sz w:val="22"/>
          </w:rPr>
          <w:t>76.4(1)</w:t>
        </w:r>
      </w:hyperlink>
      <w:r>
        <w:rPr>
          <w:rFonts w:ascii="Times New Roman" w:hAnsi="Times New Roman"/>
          <w:b w:val="false"/>
          <w:i w:val="false"/>
          <w:color w:val="000000"/>
          <w:sz w:val="22"/>
        </w:rPr>
        <w:t xml:space="preserve"> and will be counted against the total amount of tax credits that may be authorized for the next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76.4(3)</w:t>
      </w:r>
      <w:r>
        <w:rPr>
          <w:rFonts w:ascii="Times New Roman" w:hAnsi="Times New Roman"/>
          <w:b w:val="false"/>
          <w:i w:val="false"/>
          <w:color w:val="000000"/>
          <w:sz w:val="22"/>
        </w:rPr>
        <w:t> </w:t>
      </w:r>
      <w:r>
        <w:rPr>
          <w:rFonts w:ascii="Times New Roman" w:hAnsi="Times New Roman"/>
          <w:b w:val="false"/>
          <w:i/>
          <w:color w:val="000000"/>
          <w:sz w:val="22"/>
        </w:rPr>
        <w:t xml:space="preserve">Reallocation of declinations. </w:t>
      </w:r>
      <w:r>
        <w:rPr>
          <w:rFonts w:ascii="Times New Roman" w:hAnsi="Times New Roman"/>
          <w:b w:val="false"/>
          <w:i w:val="false"/>
          <w:color w:val="000000"/>
          <w:sz w:val="22"/>
        </w:rPr>
        <w:t xml:space="preserve">Any amount of tax credits authorized and awarded during a fiscal year for a program specified in Iowa Code section </w:t>
      </w:r>
      <w:hyperlink r:id="rId11">
        <w:r>
          <w:rPr>
            <w:rStyle w:val="Hyperlink"/>
            <w:rFonts w:ascii="Times New Roman" w:hAnsi="Times New Roman"/>
            <w:b w:val="false"/>
            <w:i w:val="false"/>
            <w:color w:val="000000"/>
            <w:sz w:val="22"/>
          </w:rPr>
          <w:t>15.119(2)</w:t>
        </w:r>
      </w:hyperlink>
      <w:r>
        <w:rPr>
          <w:rFonts w:ascii="Times New Roman" w:hAnsi="Times New Roman"/>
          <w:b w:val="false"/>
          <w:i w:val="false"/>
          <w:color w:val="000000"/>
          <w:sz w:val="22"/>
        </w:rPr>
        <w:t xml:space="preserve"> which is irrevocably declined by the awarded business on or before June 30 of the next fiscal year may be reallocated, authorized, and awarded during the fiscal year in which the declination occurs. Tax credits authorized pursuant to this subrule will not be considered for purposes of subrule </w:t>
      </w:r>
      <w:hyperlink r:id="rId12">
        <w:r>
          <w:rPr>
            <w:rStyle w:val="Hyperlink"/>
            <w:rFonts w:ascii="Times New Roman" w:hAnsi="Times New Roman"/>
            <w:b w:val="false"/>
            <w:i w:val="false"/>
            <w:color w:val="000000"/>
            <w:sz w:val="22"/>
          </w:rPr>
          <w:t>76.4(2)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7954B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8146B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 xml:space="preserve">; </w:t>
      </w:r>
      <w:r>
        <w:rPr>
          <w:rFonts w:ascii="Times New Roman" w:hAnsi="Times New Roman"/>
          <w:b/>
          <w:i w:val="false"/>
          <w:color w:val="000000"/>
          <w:sz w:val="16"/>
        </w:rPr>
        <w:t>ARC 1573C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6189C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261—76.5</w:t>
      </w:r>
      <w:r>
        <w:rPr>
          <w:rFonts w:ascii="Times New Roman" w:hAnsi="Times New Roman"/>
          <w:b/>
          <w:i w:val="false"/>
          <w:color w:val="000000"/>
          <w:sz w:val="22"/>
        </w:rPr>
        <w:t xml:space="preserve">(15) </w:t>
      </w:r>
      <w:r>
        <w:rPr>
          <w:rFonts w:ascii="Times New Roman" w:hAnsi="Times New Roman"/>
          <w:b/>
          <w:i w:val="false"/>
          <w:color w:val="000000"/>
          <w:sz w:val="22"/>
        </w:rPr>
        <w:t xml:space="preserve">Allocating the tax credit cap.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76.5(1)</w:t>
      </w:r>
      <w:r>
        <w:rPr>
          <w:rFonts w:ascii="Times New Roman" w:hAnsi="Times New Roman"/>
          <w:b w:val="false"/>
          <w:i w:val="false"/>
          <w:color w:val="000000"/>
          <w:sz w:val="22"/>
        </w:rPr>
        <w:t> </w:t>
      </w:r>
      <w:r>
        <w:rPr>
          <w:rFonts w:ascii="Times New Roman" w:hAnsi="Times New Roman"/>
          <w:b w:val="false"/>
          <w:i/>
          <w:color w:val="000000"/>
          <w:sz w:val="22"/>
        </w:rPr>
        <w:t xml:space="preserve">Procedure for allocations. </w:t>
      </w:r>
      <w:r>
        <w:rPr>
          <w:rFonts w:ascii="Times New Roman" w:hAnsi="Times New Roman"/>
          <w:b w:val="false"/>
          <w:i w:val="false"/>
          <w:color w:val="000000"/>
          <w:sz w:val="22"/>
        </w:rPr>
        <w:t>At a scheduled meeting of the board prior to the start of a fiscal year, the board will allocate a portion of the tax credits available under the cap to the applicable programs. The board is not required to allocate a portion of the cap to every program listed. The board may allocate a portion of the cap to be shared by programs with a common purpose. Throughout the fiscal year, the board may review the allocation as necessary but shall review the allocation at least one time during the fiscal year. Based on its review, the board may make adjustments to the allocation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76.5(2)</w:t>
      </w:r>
      <w:r>
        <w:rPr>
          <w:rFonts w:ascii="Times New Roman" w:hAnsi="Times New Roman"/>
          <w:b w:val="false"/>
          <w:i w:val="false"/>
          <w:color w:val="000000"/>
          <w:sz w:val="22"/>
        </w:rPr>
        <w:t> </w:t>
      </w:r>
      <w:r>
        <w:rPr>
          <w:rFonts w:ascii="Times New Roman" w:hAnsi="Times New Roman"/>
          <w:b w:val="false"/>
          <w:i/>
          <w:color w:val="000000"/>
          <w:sz w:val="22"/>
        </w:rPr>
        <w:t xml:space="preserve">Required suballocations. </w:t>
      </w:r>
      <w:r>
        <w:rPr>
          <w:rFonts w:ascii="Times New Roman" w:hAnsi="Times New Roman"/>
          <w:b w:val="false"/>
          <w:i w:val="false"/>
          <w:color w:val="000000"/>
          <w:sz w:val="22"/>
        </w:rPr>
        <w:t xml:space="preserve">Iowa Code section </w:t>
      </w:r>
      <w:hyperlink r:id="rId13">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 xml:space="preserve"> requires the authority to make certain suballocations to the programs subject to the cap. In some cases, there is a minimum required suballocation and in others a maximum suballocation. The authority will make the required suballocations and count them against the maximum aggregate cap before making any discretionary allocations.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7954B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8146B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 xml:space="preserve">; </w:t>
      </w:r>
      <w:r>
        <w:rPr>
          <w:rFonts w:ascii="Times New Roman" w:hAnsi="Times New Roman"/>
          <w:b/>
          <w:i w:val="false"/>
          <w:color w:val="000000"/>
          <w:sz w:val="16"/>
        </w:rPr>
        <w:t>ARC 1573C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6189C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261—76.6</w:t>
      </w:r>
      <w:r>
        <w:rPr>
          <w:rFonts w:ascii="Times New Roman" w:hAnsi="Times New Roman"/>
          <w:b/>
          <w:i w:val="false"/>
          <w:color w:val="000000"/>
          <w:sz w:val="22"/>
        </w:rPr>
        <w:t xml:space="preserve">(15) </w:t>
      </w:r>
      <w:r>
        <w:rPr>
          <w:rFonts w:ascii="Times New Roman" w:hAnsi="Times New Roman"/>
          <w:b/>
          <w:i w:val="false"/>
          <w:color w:val="000000"/>
          <w:sz w:val="22"/>
        </w:rPr>
        <w:t xml:space="preserve">Reporting to the department of revenue. </w:t>
      </w:r>
      <w:r>
        <w:rPr>
          <w:rFonts w:ascii="Times New Roman" w:hAnsi="Times New Roman"/>
          <w:b w:val="false"/>
          <w:i w:val="false"/>
          <w:color w:val="000000"/>
          <w:sz w:val="22"/>
        </w:rPr>
        <w:t>The authority shall submit an initial report to the department of revenue by August 15 of each year, which shows the initial allocation of the maximum aggregate tax credit cap. At the start of each subsequent fiscal year, the authority shall prepare a report to summarize the final allocation for the fiscal year that just ended, the total amount of awards made under each program subject to the cap during that fiscal year, and the initial allocation for the subsequent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7954B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8146B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 xml:space="preserve">; </w:t>
      </w:r>
      <w:r>
        <w:rPr>
          <w:rFonts w:ascii="Times New Roman" w:hAnsi="Times New Roman"/>
          <w:b/>
          <w:i w:val="false"/>
          <w:color w:val="000000"/>
          <w:sz w:val="16"/>
        </w:rPr>
        <w:t>ARC 1573C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6189C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7954B, IAB 7/15/09, effective 7/1/09]</w:t>
      </w:r>
    </w:p>
    <w:p>
      <w:pPr>
        <w:spacing w:before="0" w:after="0"/>
        <w:ind w:left="120"/>
        <w:jc w:val="center"/>
      </w:pPr>
      <w:r>
        <w:rPr>
          <w:rFonts w:ascii="Times New Roman" w:hAnsi="Times New Roman"/>
          <w:b w:val="false"/>
          <w:i w:val="false"/>
          <w:color w:val="000000"/>
          <w:sz w:val="21"/>
        </w:rPr>
        <w:t>[Filed ARC 8146B</w:t>
      </w:r>
      <w:r>
        <w:rPr>
          <w:rFonts w:ascii="Times New Roman" w:hAnsi="Times New Roman"/>
          <w:b w:val="false"/>
          <w:i w:val="false"/>
          <w:color w:val="000000"/>
          <w:sz w:val="21"/>
        </w:rPr>
        <w:t xml:space="preserve"> (Notice ARC 7953B, IAB 7/15/09)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1573C</w:t>
      </w:r>
      <w:r>
        <w:rPr>
          <w:rFonts w:ascii="Times New Roman" w:hAnsi="Times New Roman"/>
          <w:b w:val="false"/>
          <w:i w:val="false"/>
          <w:color w:val="000000"/>
          <w:sz w:val="21"/>
        </w:rPr>
        <w:t xml:space="preserve"> (Notice ARC 1430C, IAB 4/16/14)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6189C</w:t>
      </w:r>
      <w:r>
        <w:rPr>
          <w:rFonts w:ascii="Times New Roman" w:hAnsi="Times New Roman"/>
          <w:b w:val="false"/>
          <w:i w:val="false"/>
          <w:color w:val="000000"/>
          <w:sz w:val="21"/>
        </w:rPr>
        <w:t xml:space="preserve"> (Notice ARC 6047C, IAB 11/17/21)</w:t>
      </w:r>
      <w:r>
        <w:rPr>
          <w:rFonts w:ascii="Times New Roman" w:hAnsi="Times New Roman"/>
          <w:b w:val="false"/>
          <w:i w:val="false"/>
          <w:color w:val="000000"/>
          <w:sz w:val="21"/>
        </w:rPr>
        <w:t>, IAB 2/9/22, effective 3/16/22]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6A.pdf" Type="http://schemas.openxmlformats.org/officeDocument/2006/relationships/hyperlink" Id="rId5"/>
    <Relationship TargetMode="External" Target="https://www.legis.iowa.gov/docs/ico/chapter/15.119.pdf" Type="http://schemas.openxmlformats.org/officeDocument/2006/relationships/hyperlink" Id="rId6"/>
    <Relationship TargetMode="External" Target="https://www.legis.iowa.gov/docs/ico/chapter/15.pdf" Type="http://schemas.openxmlformats.org/officeDocument/2006/relationships/hyperlink" Id="rId7"/>
    <Relationship TargetMode="External" Target="https://www.legis.iowa.gov/docs/iac/rule/261.76.4.pdf" Type="http://schemas.openxmlformats.org/officeDocument/2006/relationships/hyperlink" Id="rId8"/>
    <Relationship TargetMode="External" Target="https://www.legis.iowa.gov/docs/iac/rule/261.76.4.pdf" Type="http://schemas.openxmlformats.org/officeDocument/2006/relationships/hyperlink" Id="rId9"/>
    <Relationship TargetMode="External" Target="https://www.legis.iowa.gov/docs/iac/rule/261.76.4.pdf" Type="http://schemas.openxmlformats.org/officeDocument/2006/relationships/hyperlink" Id="rId10"/>
    <Relationship TargetMode="External" Target="https://www.legis.iowa.gov/docs/ico/chapter/15.119.pdf" Type="http://schemas.openxmlformats.org/officeDocument/2006/relationships/hyperlink" Id="rId11"/>
    <Relationship TargetMode="External" Target="https://www.legis.iowa.gov/docs/iac/rule/261.76.4.pdf" Type="http://schemas.openxmlformats.org/officeDocument/2006/relationships/hyperlink" Id="rId12"/>
    <Relationship TargetMode="External" Target="https://www.legis.iowa.gov/docs/ico/chapter/15.119.pdf" Type="http://schemas.openxmlformats.org/officeDocument/2006/relationships/hyperlink" Id="rId13"/>
    <Relationship TargetMode="External" Target="https://www.legis.iowa.gov/docs/ico/chapter/15.119.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