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OPPORTUNITIES AND THREATS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261—75.1</w:t>
      </w:r>
      <w:r>
        <w:rPr>
          <w:rFonts w:ascii="Times New Roman" w:hAnsi="Times New Roman"/>
          <w:b/>
          <w:i w:val="false"/>
          <w:color w:val="000000"/>
          <w:sz w:val="22"/>
        </w:rPr>
        <w:t xml:space="preserve">(83GA,SF344)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opportunities and threats program is to fund projects that present a unique opportunity for economic development in the state of Iowa or projects that address a situation constituting a threat to continued economic prosperity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261—75.2</w:t>
      </w:r>
      <w:r>
        <w:rPr>
          <w:rFonts w:ascii="Times New Roman" w:hAnsi="Times New Roman"/>
          <w:b/>
          <w:i w:val="false"/>
          <w:color w:val="000000"/>
          <w:sz w:val="22"/>
        </w:rPr>
        <w:t xml:space="preserve">(83GA,SF344) </w:t>
      </w:r>
      <w:r>
        <w:rPr>
          <w:rFonts w:ascii="Times New Roman" w:hAnsi="Times New Roman"/>
          <w:b/>
          <w:i w:val="false"/>
          <w:color w:val="000000"/>
          <w:sz w:val="22"/>
        </w:rPr>
        <w:t xml:space="preserve">Administrative procedures. </w:t>
      </w:r>
      <w:r>
        <w:rPr>
          <w:rFonts w:ascii="Times New Roman" w:hAnsi="Times New Roman"/>
          <w:b w:val="false"/>
          <w:i w:val="false"/>
          <w:color w:val="000000"/>
          <w:sz w:val="22"/>
        </w:rPr>
        <w:t>The opportunities and threats program is subject to the requirements of the department’s rules located in 261—Part VII, additional application requirements and procedures, and 261—Part VIII, legal and compliance. Part VII and Part VIII include standard definitions, standard program requirements, application review and approval procedures, contracting, contract compliance and job counting, and annual reporting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261—75.3</w:t>
      </w:r>
      <w:r>
        <w:rPr>
          <w:rFonts w:ascii="Times New Roman" w:hAnsi="Times New Roman"/>
          <w:b/>
          <w:i w:val="false"/>
          <w:color w:val="000000"/>
          <w:sz w:val="22"/>
        </w:rPr>
        <w:t xml:space="preserve">(83GA,SF344)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 xml:space="preserve">An eligible applicant may be a business, an individual, a development corporation, a nonprofit organization, a council of government as defined in Iowa Code section </w:t>
      </w:r>
      <w:hyperlink r:id="rId5">
        <w:r>
          <w:rPr>
            <w:rStyle w:val="Hyperlink"/>
            <w:rFonts w:ascii="Times New Roman" w:hAnsi="Times New Roman"/>
            <w:b w:val="false"/>
            <w:i w:val="false"/>
            <w:color w:val="000000"/>
            <w:sz w:val="22"/>
          </w:rPr>
          <w:t>28H.1</w:t>
        </w:r>
      </w:hyperlink>
      <w:r>
        <w:rPr>
          <w:rFonts w:ascii="Times New Roman" w:hAnsi="Times New Roman"/>
          <w:b w:val="false"/>
          <w:i w:val="false"/>
          <w:color w:val="000000"/>
          <w:sz w:val="22"/>
        </w:rPr>
        <w:t>, or a political subdivision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261—75.4</w:t>
      </w:r>
      <w:r>
        <w:rPr>
          <w:rFonts w:ascii="Times New Roman" w:hAnsi="Times New Roman"/>
          <w:b/>
          <w:i w:val="false"/>
          <w:color w:val="000000"/>
          <w:sz w:val="22"/>
        </w:rPr>
        <w:t xml:space="preserve">(83GA,SF344) </w:t>
      </w:r>
      <w:r>
        <w:rPr>
          <w:rFonts w:ascii="Times New Roman" w:hAnsi="Times New Roman"/>
          <w:b/>
          <w:i w:val="false"/>
          <w:color w:val="000000"/>
          <w:sz w:val="22"/>
        </w:rPr>
        <w:t xml:space="preserve">Review criteria. </w:t>
      </w:r>
      <w:r>
        <w:rPr>
          <w:rFonts w:ascii="Times New Roman" w:hAnsi="Times New Roman"/>
          <w:b w:val="false"/>
          <w:i w:val="false"/>
          <w:color w:val="000000"/>
          <w:sz w:val="22"/>
        </w:rPr>
        <w:t>When applications are reviewed,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75.4(1)</w:t>
      </w:r>
      <w:r>
        <w:rPr>
          <w:rFonts w:ascii="Times New Roman" w:hAnsi="Times New Roman"/>
          <w:b w:val="false"/>
          <w:i w:val="false"/>
          <w:color w:val="000000"/>
          <w:sz w:val="22"/>
        </w:rPr>
        <w:t> </w:t>
      </w:r>
      <w:r>
        <w:rPr>
          <w:rFonts w:ascii="Times New Roman" w:hAnsi="Times New Roman"/>
          <w:b w:val="false"/>
          <w:i w:val="false"/>
          <w:color w:val="000000"/>
          <w:sz w:val="22"/>
        </w:rPr>
        <w:t>A project shall not be eligible for financial assistance under another state program. If a project is eligible for assistance under another state program, then the project shall not be eligible for funding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75.4(2)</w:t>
      </w:r>
      <w:r>
        <w:rPr>
          <w:rFonts w:ascii="Times New Roman" w:hAnsi="Times New Roman"/>
          <w:b w:val="false"/>
          <w:i w:val="false"/>
          <w:color w:val="000000"/>
          <w:sz w:val="22"/>
        </w:rPr>
        <w:t> </w:t>
      </w:r>
      <w:r>
        <w:rPr>
          <w:rFonts w:ascii="Times New Roman" w:hAnsi="Times New Roman"/>
          <w:b w:val="false"/>
          <w:i w:val="false"/>
          <w:color w:val="000000"/>
          <w:sz w:val="22"/>
        </w:rPr>
        <w:t>The project must represent a unique economic development opportunity or involve a unique threat to economic development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75.4(3)</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any financial assistance received under this program leverages additional public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75.4(4)</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that the project will lead to a positive economic impact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75.4(5)</w:t>
      </w:r>
      <w:r>
        <w:rPr>
          <w:rFonts w:ascii="Times New Roman" w:hAnsi="Times New Roman"/>
          <w:b w:val="false"/>
          <w:i w:val="false"/>
          <w:color w:val="000000"/>
          <w:sz w:val="22"/>
        </w:rPr>
        <w:t> </w:t>
      </w:r>
      <w:r>
        <w:rPr>
          <w:rFonts w:ascii="Times New Roman" w:hAnsi="Times New Roman"/>
          <w:b w:val="false"/>
          <w:i w:val="false"/>
          <w:color w:val="000000"/>
          <w:sz w:val="22"/>
        </w:rPr>
        <w:t>An applicant must demonstrate financial need for assistance. Financial need may be demonstrated with financial statements, narrative statements outlining the financial need, and any other documentation that demonstrates financial need or that is requested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261—75.5</w:t>
      </w:r>
      <w:r>
        <w:rPr>
          <w:rFonts w:ascii="Times New Roman" w:hAnsi="Times New Roman"/>
          <w:b/>
          <w:i w:val="false"/>
          <w:color w:val="000000"/>
          <w:sz w:val="22"/>
        </w:rPr>
        <w:t xml:space="preserve">(83GA,SF344) </w:t>
      </w:r>
      <w:r>
        <w:rPr>
          <w:rFonts w:ascii="Times New Roman" w:hAnsi="Times New Roman"/>
          <w:b/>
          <w:i w:val="false"/>
          <w:color w:val="000000"/>
          <w:sz w:val="22"/>
        </w:rPr>
        <w:t xml:space="preserve">Award criteria. </w:t>
      </w:r>
      <w:r>
        <w:rPr>
          <w:rFonts w:ascii="Times New Roman" w:hAnsi="Times New Roman"/>
          <w:b w:val="false"/>
          <w:i w:val="false"/>
          <w:color w:val="000000"/>
          <w:sz w:val="22"/>
        </w:rPr>
        <w:t>An award made under this program shall not exceed 50 percent of the total project cost. The minimum award amount is $25,000. The maximum award amount is $250,000 per fiscal year. The board may award an amount in excess of $250,000 if that award is made over multiple fiscal years and the amount committed for each fiscal year within the multiyear award does not exceed $250,000.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8145B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261—75.6</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Applicability of the opportunities and threats program on or after July 1, 2012.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as of July 1, 2012, the grow Iowa values fund and financial assistance program as amended by </w:t>
      </w:r>
      <w:r>
        <w:rPr>
          <w:rFonts w:ascii="Times New Roman" w:hAnsi="Times New Roman"/>
          <w:b w:val="false"/>
          <w:i w:val="false"/>
          <w:color w:val="000000"/>
          <w:sz w:val="22"/>
        </w:rPr>
        <w:t>2009 Iowa Acts, Senate File 344</w:t>
      </w:r>
      <w:r>
        <w:rPr>
          <w:rFonts w:ascii="Times New Roman" w:hAnsi="Times New Roman"/>
          <w:b w:val="false"/>
          <w:i w:val="false"/>
          <w:color w:val="000000"/>
          <w:sz w:val="22"/>
        </w:rPr>
        <w:t xml:space="preserve">, and elsewhere in these rules referred to as IVF(2009), was repealed by </w:t>
      </w:r>
      <w:r>
        <w:rPr>
          <w:rFonts w:ascii="Times New Roman" w:hAnsi="Times New Roman"/>
          <w:b w:val="false"/>
          <w:i w:val="false"/>
          <w:color w:val="000000"/>
          <w:sz w:val="22"/>
        </w:rPr>
        <w:t>2011 Iowa Acts, chapter 133</w:t>
      </w:r>
      <w:r>
        <w:rPr>
          <w:rFonts w:ascii="Times New Roman" w:hAnsi="Times New Roman"/>
          <w:b w:val="false"/>
          <w:i w:val="false"/>
          <w:color w:val="000000"/>
          <w:sz w:val="22"/>
        </w:rPr>
        <w:t>. The repeal took effect on June 30,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val="false"/>
          <w:color w:val="000000"/>
          <w:sz w:val="22"/>
        </w:rPr>
        <w:t>For awards made on or after July 1, 2009, and on or before June 30, 2012, the rules applicable to the opportunities and threats program shall be applicable for purposes of contract administration and closeout of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val="false"/>
          <w:color w:val="000000"/>
          <w:sz w:val="22"/>
        </w:rPr>
        <w:t>A contract amendment will not be allowed if such an amendment would increase the amount of assistance to be provided under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0442C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2011 Iowa Code Supplement chapter </w:t>
      </w:r>
      <w:hyperlink r:id="rId6">
        <w:r>
          <w:rPr>
            <w:rStyle w:val="Hyperlink"/>
            <w:rFonts w:ascii="Times New Roman" w:hAnsi="Times New Roman"/>
            <w:b w:val="false"/>
            <w:i w:val="false"/>
            <w:color w:val="000000"/>
            <w:sz w:val="22"/>
          </w:rPr>
          <w:t>15G, subchapter 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0442C</w:t>
      </w:r>
      <w:r>
        <w:rPr>
          <w:rFonts w:ascii="Times New Roman" w:hAnsi="Times New Roman"/>
          <w:b w:val="false"/>
          <w:i w:val="false"/>
          <w:color w:val="000000"/>
          <w:sz w:val="21"/>
        </w:rPr>
        <w:t xml:space="preserve"> (Notice ARC 0293C, IAB 8/22/12)</w:t>
      </w:r>
      <w:r>
        <w:rPr>
          <w:rFonts w:ascii="Times New Roman" w:hAnsi="Times New Roman"/>
          <w:b w:val="false"/>
          <w:i w:val="false"/>
          <w:color w:val="000000"/>
          <w:sz w:val="21"/>
        </w:rPr>
        <w:t>, IAB 11/14/12, effective 12/19/12]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H.1.pdf" Type="http://schemas.openxmlformats.org/officeDocument/2006/relationships/hyperlink" Id="rId5"/>
    <Relationship TargetMode="External" Target="https://www.legis.iowa.gov/docs/ico/chapter/15G.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