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IOWA EXPORT TRADE ASSISTANCE PROGRAM</w:t>
      </w:r>
    </w:p>
    <w:p>
      <w:pPr>
        <w:spacing w:before="0" w:after="0"/>
        <w:ind w:left="120"/>
        <w:jc w:val="center"/>
      </w:pPr>
      <w:r>
        <w:rPr>
          <w:rFonts w:ascii="Times New Roman" w:hAnsi="Times New Roman"/>
          <w:b w:val="false"/>
          <w:i w:val="false"/>
          <w:color w:val="000000"/>
          <w:sz w:val="14"/>
        </w:rPr>
        <w:t>[Prior to 11/15/89, see 261—Ch 56]</w:t>
      </w:r>
    </w:p>
    <w:p>
      <w:pPr>
        <w:spacing w:before="0" w:after="0"/>
        <w:ind w:left="120"/>
        <w:jc w:val="center"/>
      </w:pPr>
      <w:r>
        <w:rPr>
          <w:rFonts w:ascii="Times New Roman" w:hAnsi="Times New Roman"/>
          <w:b w:val="false"/>
          <w:i w:val="false"/>
          <w:color w:val="000000"/>
          <w:sz w:val="14"/>
        </w:rPr>
        <w:t>[Prior to 7/19/95, see 261—Ch 61]</w:t>
      </w:r>
    </w:p>
    <w:p>
      <w:pPr>
        <w:spacing w:before="0" w:after="0"/>
        <w:ind w:left="120"/>
        <w:jc w:val="center"/>
      </w:pPr>
      <w:r>
        <w:rPr>
          <w:rFonts w:ascii="Times New Roman" w:hAnsi="Times New Roman"/>
          <w:b w:val="false"/>
          <w:i w:val="false"/>
          <w:color w:val="000000"/>
          <w:sz w:val="14"/>
        </w:rPr>
        <w:t>[Prior to 9/6/00, see 261—Ch 68]</w:t>
      </w:r>
    </w:p>
    <w:p>
      <w:pPr>
        <w:spacing w:before="0" w:after="0"/>
        <w:ind w:left="120"/>
        <w:jc w:val="center"/>
      </w:pPr>
      <w:r>
        <w:rPr>
          <w:rFonts w:ascii="Times New Roman" w:hAnsi="Times New Roman"/>
          <w:b w:val="false"/>
          <w:i w:val="false"/>
          <w:color w:val="000000"/>
          <w:sz w:val="14"/>
        </w:rPr>
        <w:t>[Prior to 7/4/07, see 261—Ch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261—72.1</w:t>
      </w:r>
      <w:r>
        <w:rPr>
          <w:rFonts w:ascii="Times New Roman" w:hAnsi="Times New Roman"/>
          <w:b/>
          <w:i w:val="false"/>
          <w:color w:val="000000"/>
          <w:sz w:val="22"/>
        </w:rPr>
        <w:t xml:space="preserve">(78GA,ch197)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Iowa export trade assistance program is to promote the development of international trade activities and opportunities for exporters in the state of Iowa through encouraging increased participation in international trade shows and trade missions by providing financial assistance to successful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4375C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261—72.2</w:t>
      </w:r>
      <w:r>
        <w:rPr>
          <w:rFonts w:ascii="Times New Roman" w:hAnsi="Times New Roman"/>
          <w:b/>
          <w:i w:val="false"/>
          <w:color w:val="000000"/>
          <w:sz w:val="22"/>
        </w:rPr>
        <w:t xml:space="preserve">(78GA,ch197)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Authority” </w:t>
      </w:r>
      <w:r>
        <w:rPr>
          <w:rFonts w:ascii="Times New Roman" w:hAnsi="Times New Roman"/>
          <w:b w:val="false"/>
          <w:i w:val="false"/>
          <w:color w:val="000000"/>
          <w:sz w:val="22"/>
        </w:rPr>
        <w:t>means the Iowa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“Exporter” </w:t>
      </w:r>
      <w:r>
        <w:rPr>
          <w:rFonts w:ascii="Times New Roman" w:hAnsi="Times New Roman"/>
          <w:b w:val="false"/>
          <w:i w:val="false"/>
          <w:color w:val="000000"/>
          <w:sz w:val="22"/>
        </w:rPr>
        <w:t>means a person or business that sells one of the following outside of the United States: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manufactured product.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value-added product.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agricultural product.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representative” </w:t>
      </w:r>
      <w:r>
        <w:rPr>
          <w:rFonts w:ascii="Times New Roman" w:hAnsi="Times New Roman"/>
          <w:b w:val="false"/>
          <w:i w:val="false"/>
          <w:color w:val="000000"/>
          <w:sz w:val="22"/>
        </w:rPr>
        <w:t>means a contracted representative of an Iowa firm with the authority to consummate a sales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mission” </w:t>
      </w:r>
      <w:r>
        <w:rPr>
          <w:rFonts w:ascii="Times New Roman" w:hAnsi="Times New Roman"/>
          <w:b w:val="false"/>
          <w:i w:val="false"/>
          <w:color w:val="000000"/>
          <w:sz w:val="22"/>
        </w:rPr>
        <w:t>means a mission event led by the authority or designated representative. Qualified trade missions must include each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Advanced operational and logistical planning.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Advanced scheduling of individualized appointments with prequalified prospects interested in participants’ product or service being offered.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Background information on individual prospects prior to appointments.</w:t>
      </w:r>
    </w:p>
    <w:p>
      <w:pPr>
        <w:spacing w:before="0" w:after="0"/>
        <w:ind w:left="120"/>
        <w:jc w:val="both"/>
      </w:pPr>
      <w:r>
        <w:rPr>
          <w:rFonts w:ascii="Times New Roman" w:hAnsi="Times New Roman"/>
          <w:b w:val="false"/>
          <w:i w:val="false"/>
          <w:color w:val="000000"/>
          <w:sz w:val="22"/>
        </w:rPr>
        <w:t>Trade missions may also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In-depth briefings on market requirements and business practices for the targeted country.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Interpreter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 of a trade mission directory prior to the event containing individual company data regarding the Iowa company and the products being offered.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Technical seminars delivered by the mission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9064B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4375C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261—72.3</w:t>
      </w:r>
      <w:r>
        <w:rPr>
          <w:rFonts w:ascii="Times New Roman" w:hAnsi="Times New Roman"/>
          <w:b/>
          <w:i w:val="false"/>
          <w:color w:val="000000"/>
          <w:sz w:val="22"/>
        </w:rPr>
        <w:t xml:space="preserve">(78GA,ch197)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The export trade assistance program is available to Iowa firms either producing or adding value to products, or both, or providing exportable services in the state of Iowa. To be eligible to receive trade assistance, applicants must meet all five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an entity employing fewer than 500 individuals, 75 percent or more of whom are employed within the state of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Exhibit products or services or samples of Iowa manufactured, processed or value-added products or agricultural commodities in conjunction with an international trade show or trade mission,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Have at least one full-time employee or sales representative participate in the trade show or participate in the trade mission,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 proof of deposit or executed payment agreement for a trade show, or payment of the trade mission participation fee,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considered by the authority as compliant with past ETAP contractual agreements.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9064B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4375C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261—72.4</w:t>
      </w:r>
      <w:r>
        <w:rPr>
          <w:rFonts w:ascii="Times New Roman" w:hAnsi="Times New Roman"/>
          <w:b/>
          <w:i w:val="false"/>
          <w:color w:val="000000"/>
          <w:sz w:val="22"/>
        </w:rPr>
        <w:t xml:space="preserve">(78GA,ch197) </w:t>
      </w:r>
      <w:r>
        <w:rPr>
          <w:rFonts w:ascii="Times New Roman" w:hAnsi="Times New Roman"/>
          <w:b/>
          <w:i w:val="false"/>
          <w:color w:val="000000"/>
          <w:sz w:val="22"/>
        </w:rPr>
        <w:t xml:space="preserve">Eligible reimbursements. </w:t>
      </w:r>
      <w:r>
        <w:rPr>
          <w:rFonts w:ascii="Times New Roman" w:hAnsi="Times New Roman"/>
          <w:b w:val="false"/>
          <w:i w:val="false"/>
          <w:color w:val="000000"/>
          <w:sz w:val="22"/>
        </w:rPr>
        <w:t>The authority’s reimbursement to approved applicants for assistance shall not exceed 75 percent of eligible expenses. Total reimbursement shall not exceed $4,000 per event. Payments will be made by the authority on a reimbursement basis upon submission of proper documentation and approval by the authority of paid receipts received by the authority. Reimbursement is limited to the following types of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Trade shows.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Space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Booth construction at show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Booth equipment or furniture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Shipping costs associated with shipment of equipment or exhibit materials to the participant’s booth and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Booth utility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Interpreter fees for the duration of the trade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 diem (lodging and meals) for the day immediately before the opening day of the trade show through the day immediately after the closing day of the trade show; per diem is calculated at 50 percent of the rate schedules provided by the U.S. Department of State for travel in international areas; and per diem will be paid for only one sales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Trade 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Mission participation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 diem (lodging and meals) for each day identified in the official mission itinerary. Per diem is calculated at 50 percent of the rate schedules provided by the U.S. Department of State for travel in international areas and will be paid for only one sales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Shipping costs associated with shipment of equipment or exhibit materials to the participant’s meeting site and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Interpreter fees, if not included in the participation fee, and as needed during the trade 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4375C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261—72.5</w:t>
      </w:r>
      <w:r>
        <w:rPr>
          <w:rFonts w:ascii="Times New Roman" w:hAnsi="Times New Roman"/>
          <w:b/>
          <w:i w:val="false"/>
          <w:color w:val="000000"/>
          <w:sz w:val="22"/>
        </w:rPr>
        <w:t xml:space="preserve">(78GA,ch197) </w:t>
      </w:r>
      <w:r>
        <w:rPr>
          <w:rFonts w:ascii="Times New Roman" w:hAnsi="Times New Roman"/>
          <w:b/>
          <w:i w:val="false"/>
          <w:color w:val="000000"/>
          <w:sz w:val="22"/>
        </w:rPr>
        <w:t xml:space="preserve">Applications for assistance. </w:t>
      </w:r>
      <w:r>
        <w:rPr>
          <w:rFonts w:ascii="Times New Roman" w:hAnsi="Times New Roman"/>
          <w:b w:val="false"/>
          <w:i w:val="false"/>
          <w:color w:val="000000"/>
          <w:sz w:val="22"/>
        </w:rPr>
        <w:t>The application for assistance shall be available on the authority’s website. To qualify for the export trade assistance program,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val="false"/>
          <w:color w:val="000000"/>
          <w:sz w:val="22"/>
        </w:rPr>
        <w:t>Complete the export trade assistance program’s application form and submit it to the authority prior to trade event participation. Successful applicants will be required to enter into a contract for reimbursement with the authority prior to trade event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val="false"/>
          <w:color w:val="000000"/>
          <w:sz w:val="22"/>
        </w:rPr>
        <w:t>Exhibit products or services or samples of Iowa products in conjunction with an international trade show or trade 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val="false"/>
          <w:color w:val="000000"/>
          <w:sz w:val="22"/>
        </w:rPr>
        <w:t>Have in attendance at the trade show or trade mission at least one full-time employee or sales representative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val="false"/>
          <w:color w:val="000000"/>
          <w:sz w:val="22"/>
        </w:rPr>
        <w:t>Pay all expenses related to participation in the trade event and submit eligible, documented expenses for reimbursement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val="false"/>
          <w:color w:val="000000"/>
          <w:sz w:val="22"/>
        </w:rPr>
        <w:t>Complete the final report form and submit it to the authority before final reimbursement can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4375C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261—72.6</w:t>
      </w:r>
      <w:r>
        <w:rPr>
          <w:rFonts w:ascii="Times New Roman" w:hAnsi="Times New Roman"/>
          <w:b/>
          <w:i w:val="false"/>
          <w:color w:val="000000"/>
          <w:sz w:val="22"/>
        </w:rPr>
        <w:t xml:space="preserve">(78GA,ch197) </w:t>
      </w:r>
      <w:r>
        <w:rPr>
          <w:rFonts w:ascii="Times New Roman" w:hAnsi="Times New Roman"/>
          <w:b/>
          <w:i w:val="false"/>
          <w:color w:val="000000"/>
          <w:sz w:val="22"/>
        </w:rPr>
        <w:t xml:space="preserve">Selection process. </w:t>
      </w:r>
      <w:r>
        <w:rPr>
          <w:rFonts w:ascii="Times New Roman" w:hAnsi="Times New Roman"/>
          <w:b w:val="false"/>
          <w:i w:val="false"/>
          <w:color w:val="000000"/>
          <w:sz w:val="22"/>
        </w:rPr>
        <w:t>Applications will be reviewed in the order received by the authority. Successful applicants will be funded on a first-come, first-served basis to the extent funds are available. When all funds have been committed, applications shall be held in the order they are received. In the event that committed funds are subsequently available, the applications shall be processed in the order they were received for events that have not yet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4375C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261—72.7</w:t>
      </w:r>
      <w:r>
        <w:rPr>
          <w:rFonts w:ascii="Times New Roman" w:hAnsi="Times New Roman"/>
          <w:b/>
          <w:i w:val="false"/>
          <w:color w:val="000000"/>
          <w:sz w:val="22"/>
        </w:rPr>
        <w:t xml:space="preserve">(78GA,ch197) </w:t>
      </w:r>
      <w:r>
        <w:rPr>
          <w:rFonts w:ascii="Times New Roman" w:hAnsi="Times New Roman"/>
          <w:b/>
          <w:i w:val="false"/>
          <w:color w:val="000000"/>
          <w:sz w:val="22"/>
        </w:rPr>
        <w:t xml:space="preserve">Limitations. </w:t>
      </w:r>
      <w:r>
        <w:rPr>
          <w:rFonts w:ascii="Times New Roman" w:hAnsi="Times New Roman"/>
          <w:b w:val="false"/>
          <w:i w:val="false"/>
          <w:color w:val="000000"/>
          <w:sz w:val="22"/>
        </w:rPr>
        <w:t>A participant in the export trade assistance program shall not utilize the program’s benefits more than three times during the state’s fiscal year. Participants shall not utilize export trade assistance program funds for participation in the same trade show more than two times. Participants shall not utilize export trade assistance program funds for participation in multiple trade shows in the same country during the same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4375C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261—72.8</w:t>
      </w:r>
      <w:r>
        <w:rPr>
          <w:rFonts w:ascii="Times New Roman" w:hAnsi="Times New Roman"/>
          <w:b/>
          <w:i w:val="false"/>
          <w:color w:val="000000"/>
          <w:sz w:val="22"/>
        </w:rPr>
        <w:t xml:space="preserve">(78GA,ch197)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are available from the authority and will be used by the authority in the administration of the export trade assistance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ETAP application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ETAP final report (claim) form,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Grant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4375C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1999 Iowa Acts, chapter 197</w:t>
      </w:r>
      <w:r>
        <w:rPr>
          <w:rFonts w:ascii="Times New Roman" w:hAnsi="Times New Roman"/>
          <w:b w:val="false"/>
          <w:i w:val="false"/>
          <w:color w:val="000000"/>
          <w:sz w:val="22"/>
        </w:rPr>
        <w:t>, section 1, subsection 4.</w:t>
      </w:r>
    </w:p>
    <w:p>
      <w:pPr>
        <w:spacing w:before="0" w:after="0"/>
        <w:ind w:left="120"/>
        <w:jc w:val="center"/>
      </w:pPr>
      <w:r>
        <w:rPr>
          <w:rFonts w:ascii="Times New Roman" w:hAnsi="Times New Roman"/>
          <w:b w:val="false"/>
          <w:i w:val="false"/>
          <w:color w:val="000000"/>
          <w:sz w:val="21"/>
        </w:rPr>
        <w:t>[Filed emergency 7/1/88—published 7/27/88, effective 7/1/88]</w:t>
      </w:r>
    </w:p>
    <w:p>
      <w:pPr>
        <w:spacing w:before="0" w:after="0"/>
        <w:ind w:left="120"/>
        <w:jc w:val="center"/>
      </w:pPr>
      <w:r>
        <w:rPr>
          <w:rFonts w:ascii="Times New Roman" w:hAnsi="Times New Roman"/>
          <w:b w:val="false"/>
          <w:i w:val="false"/>
          <w:color w:val="000000"/>
          <w:sz w:val="21"/>
        </w:rPr>
        <w:t>[Filed emergency 8/19/88—published 9/7/88, effective 8/19/88]</w:t>
      </w:r>
    </w:p>
    <w:p>
      <w:pPr>
        <w:spacing w:before="0" w:after="0"/>
        <w:ind w:left="120"/>
        <w:jc w:val="center"/>
      </w:pPr>
      <w:r>
        <w:rPr>
          <w:rFonts w:ascii="Times New Roman" w:hAnsi="Times New Roman"/>
          <w:b w:val="false"/>
          <w:i w:val="false"/>
          <w:color w:val="000000"/>
          <w:sz w:val="21"/>
        </w:rPr>
        <w:t>[Filed 1/20/89, Notice 7/27/88—published 2/8/89, effective 3/15/89]</w:t>
      </w:r>
    </w:p>
    <w:p>
      <w:pPr>
        <w:spacing w:before="0" w:after="0"/>
        <w:ind w:left="120"/>
        <w:jc w:val="center"/>
      </w:pPr>
      <w:r>
        <w:rPr>
          <w:rFonts w:ascii="Times New Roman" w:hAnsi="Times New Roman"/>
          <w:b w:val="false"/>
          <w:i w:val="false"/>
          <w:color w:val="000000"/>
          <w:sz w:val="21"/>
        </w:rPr>
        <w:t>[Filed 1/18/91, Notice 12/12/90—published 2/6/91, effective 3/13/91]</w:t>
      </w:r>
    </w:p>
    <w:p>
      <w:pPr>
        <w:spacing w:before="0" w:after="0"/>
        <w:ind w:left="120"/>
        <w:jc w:val="center"/>
      </w:pPr>
      <w:r>
        <w:rPr>
          <w:rFonts w:ascii="Times New Roman" w:hAnsi="Times New Roman"/>
          <w:b w:val="false"/>
          <w:i w:val="false"/>
          <w:color w:val="000000"/>
          <w:sz w:val="21"/>
        </w:rPr>
        <w:t>[Filed emergency 7/19/91—published 8/7/91, effective 7/19/91]</w:t>
      </w:r>
    </w:p>
    <w:p>
      <w:pPr>
        <w:spacing w:before="0" w:after="0"/>
        <w:ind w:left="120"/>
        <w:jc w:val="center"/>
      </w:pPr>
      <w:r>
        <w:rPr>
          <w:rFonts w:ascii="Times New Roman" w:hAnsi="Times New Roman"/>
          <w:b w:val="false"/>
          <w:i w:val="false"/>
          <w:color w:val="000000"/>
          <w:sz w:val="21"/>
        </w:rPr>
        <w:t>[Filed 1/17/92, Notice 8/7/91—published 2/5/92, effective 3/11/92]</w:t>
      </w:r>
    </w:p>
    <w:p>
      <w:pPr>
        <w:spacing w:before="0" w:after="0"/>
        <w:ind w:left="120"/>
        <w:jc w:val="center"/>
      </w:pPr>
      <w:r>
        <w:rPr>
          <w:rFonts w:ascii="Times New Roman" w:hAnsi="Times New Roman"/>
          <w:b w:val="false"/>
          <w:i w:val="false"/>
          <w:color w:val="000000"/>
          <w:sz w:val="21"/>
        </w:rPr>
        <w:t>[Filed 3/25/93, Notice 1/6/93—published 4/14/93, effective 5/19/93]</w:t>
      </w:r>
    </w:p>
    <w:p>
      <w:pPr>
        <w:spacing w:before="0" w:after="0"/>
        <w:ind w:left="120"/>
        <w:jc w:val="center"/>
      </w:pPr>
      <w:r>
        <w:rPr>
          <w:rFonts w:ascii="Times New Roman" w:hAnsi="Times New Roman"/>
          <w:b w:val="false"/>
          <w:i w:val="false"/>
          <w:color w:val="000000"/>
          <w:sz w:val="21"/>
        </w:rPr>
        <w:t>[Filed emergency 9/23/94—published 10/12/94, effective 9/23/94]</w:t>
      </w:r>
    </w:p>
    <w:p>
      <w:pPr>
        <w:spacing w:before="0" w:after="0"/>
        <w:ind w:left="120"/>
        <w:jc w:val="center"/>
      </w:pPr>
      <w:r>
        <w:rPr>
          <w:rFonts w:ascii="Times New Roman" w:hAnsi="Times New Roman"/>
          <w:b w:val="false"/>
          <w:i w:val="false"/>
          <w:color w:val="000000"/>
          <w:sz w:val="21"/>
        </w:rPr>
        <w:t>[Filed emergency 5/19/95—published 6/7/95, effective 7/1/95]</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emergency 9/19/97 after Notice 8/13/97—published 10/8/97, effective 9/19/97]</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4/21/00, Notice 3/8/00—published 5/17/00, effective 6/21/00]</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9064B</w:t>
      </w:r>
      <w:r>
        <w:rPr>
          <w:rFonts w:ascii="Times New Roman" w:hAnsi="Times New Roman"/>
          <w:b w:val="false"/>
          <w:i w:val="false"/>
          <w:color w:val="000000"/>
          <w:sz w:val="21"/>
        </w:rPr>
        <w:t xml:space="preserve"> (Notice ARC 8833B, IAB 6/2/10)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4375C</w:t>
      </w:r>
      <w:r>
        <w:rPr>
          <w:rFonts w:ascii="Times New Roman" w:hAnsi="Times New Roman"/>
          <w:b w:val="false"/>
          <w:i w:val="false"/>
          <w:color w:val="000000"/>
          <w:sz w:val="21"/>
        </w:rPr>
        <w:t xml:space="preserve"> (Notice ARC 4203C, IAB 1/2/19)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2"/>
        </w:rPr>
        <w:t>OBJECTION</w:t>
      </w:r>
    </w:p>
    <w:p>
      <w:pPr>
        <w:spacing w:before="0" w:after="0"/>
        <w:ind w:left="120"/>
        <w:jc w:val="left"/>
      </w:pPr>
      <w:r>
        <w:rPr>
          <w:rFonts w:ascii="Times New Roman" w:hAnsi="Times New Roman"/>
          <w:b w:val="false"/>
          <w:i w:val="false"/>
          <w:color w:val="000000"/>
          <w:sz w:val="22"/>
        </w:rPr>
        <w:t>At its meeting held February 3, 1992, the Administrative Rules Review Committee voted to object to the amendments to rule 261 IAC 61.3“1”</w:t>
      </w:r>
      <w:r>
        <w:rPr>
          <w:rFonts w:ascii="Times New Roman" w:hAnsi="Times New Roman"/>
          <w:b/>
          <w:i w:val="false"/>
          <w:color w:val="000000"/>
          <w:sz w:val="10"/>
        </w:rPr>
        <w:t>1</w:t>
      </w:r>
      <w:r>
        <w:rPr>
          <w:rFonts w:ascii="Times New Roman" w:hAnsi="Times New Roman"/>
          <w:b w:val="false"/>
          <w:i w:val="false"/>
          <w:color w:val="000000"/>
          <w:sz w:val="22"/>
        </w:rPr>
        <w:t xml:space="preserve"> on the grounds those amendments are unreasonable. This rule originally appeared as part of </w:t>
      </w:r>
      <w:r>
        <w:rPr>
          <w:rFonts w:ascii="Times New Roman" w:hAnsi="Times New Roman"/>
          <w:b/>
          <w:i w:val="false"/>
          <w:color w:val="000000"/>
          <w:sz w:val="22"/>
        </w:rPr>
        <w:t>ARC 2215A</w:t>
      </w:r>
      <w:r>
        <w:rPr>
          <w:rFonts w:ascii="Times New Roman" w:hAnsi="Times New Roman"/>
          <w:b w:val="false"/>
          <w:i w:val="false"/>
          <w:color w:val="000000"/>
          <w:sz w:val="22"/>
        </w:rPr>
        <w:t>, published in IAB Vol. XIV No.</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 xml:space="preserve">3 (08-07-91). The previous rule provided export trade assistance to Iowa residents or entities with corporate offices in Iowa. The amendment will provide the assistance to out-of-state entities, as long as they employ fewer than 500 people and 75 percent of those people are employed in Iowa. This rule has now been repromulgated as </w:t>
      </w:r>
      <w:r>
        <w:rPr>
          <w:rFonts w:ascii="Times New Roman" w:hAnsi="Times New Roman"/>
          <w:b/>
          <w:i w:val="false"/>
          <w:color w:val="000000"/>
          <w:sz w:val="22"/>
        </w:rPr>
        <w:t>ARC 2763A</w:t>
      </w:r>
      <w:r>
        <w:rPr>
          <w:rFonts w:ascii="Times New Roman" w:hAnsi="Times New Roman"/>
          <w:b w:val="false"/>
          <w:i w:val="false"/>
          <w:color w:val="000000"/>
          <w:sz w:val="22"/>
        </w:rPr>
        <w:t>, but the language of concern to the Committee remains unchanged, and for that reason the objection remains in place.</w:t>
      </w:r>
    </w:p>
    <w:p>
      <w:pPr>
        <w:spacing w:before="0" w:after="0"/>
        <w:ind w:left="120"/>
        <w:jc w:val="left"/>
      </w:pPr>
      <w:r>
        <w:rPr>
          <w:rFonts w:ascii="Times New Roman" w:hAnsi="Times New Roman"/>
          <w:b w:val="false"/>
          <w:i w:val="false"/>
          <w:color w:val="000000"/>
          <w:sz w:val="22"/>
        </w:rPr>
        <w:t>The Committee believes this amendment is unreasonable because it believes there are ample numbers of Iowa-based corporations that desire to participate in this program and that it is unnecessary to use Iowa-generated revenue to benefit out-of-state corporations.</w:t>
      </w:r>
    </w:p>
    <w:p>
      <w:pPr>
        <w:pBdr>
          <w:bottom w:space="2"/>
        </w:pBdr>
        <w:spacing w:before="0" w:after="0"/>
        <w:ind w:left="120"/>
        <w:jc w:val="both"/>
      </w:pPr>
      <w:r>
        <w:rPr>
          <w:rFonts w:ascii="Times New Roman" w:hAnsi="Times New Roman"/>
          <w:b w:val="false"/>
          <w:i w:val="false"/>
          <w:color w:val="000000"/>
          <w:sz w:val="22"/>
        </w:rPr>
        <w:t>Renumbered 68.3“1,” IAB 7/19/95; renumbered 132.3“1,” IAB 9/6/00; renumbered 72.3“1,” IAB 7/4/07.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