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w:t>
      </w:r>
    </w:p>
    <w:p>
      <w:pPr>
        <w:spacing w:before="0" w:after="0"/>
        <w:ind w:left="120"/>
        <w:jc w:val="center"/>
      </w:pPr>
      <w:r>
        <w:rPr>
          <w:rFonts w:ascii="Times New Roman" w:hAnsi="Times New Roman"/>
          <w:b w:val="false"/>
          <w:i w:val="false"/>
          <w:color w:val="000000"/>
          <w:sz w:val="21"/>
        </w:rPr>
        <w:t>EMPLOYER CHILD CARE TAX CREDIT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9/13/28</w:t>
      </w:r>
    </w:p>
    <w:p>
      <w:pPr>
        <w:spacing w:before="0" w:after="0"/>
        <w:ind w:left="120"/>
        <w:jc w:val="both"/>
      </w:pPr>
      <w:r>
        <w:rPr>
          <w:rFonts w:ascii="Times New Roman" w:hAnsi="Times New Roman"/>
          <w:b/>
          <w:i w:val="false"/>
          <w:color w:val="000000"/>
          <w:sz w:val="22"/>
        </w:rPr>
        <w:t>261—57.1</w:t>
      </w:r>
      <w:r>
        <w:rPr>
          <w:rFonts w:ascii="Times New Roman" w:hAnsi="Times New Roman"/>
          <w:b/>
          <w:i w:val="false"/>
          <w:color w:val="000000"/>
          <w:sz w:val="22"/>
        </w:rPr>
        <w:t xml:space="preserve">(237A)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“Federal credit” </w:t>
      </w:r>
      <w:r>
        <w:rPr>
          <w:rFonts w:ascii="Times New Roman" w:hAnsi="Times New Roman"/>
          <w:b w:val="false"/>
          <w:i w:val="false"/>
          <w:color w:val="000000"/>
          <w:sz w:val="22"/>
        </w:rPr>
        <w:t>means the federal employer-provided child care tax credit provided in Section 45F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child care expenditure” </w:t>
      </w:r>
      <w:r>
        <w:rPr>
          <w:rFonts w:ascii="Times New Roman" w:hAnsi="Times New Roman"/>
          <w:b w:val="false"/>
          <w:i w:val="false"/>
          <w:color w:val="000000"/>
          <w:sz w:val="22"/>
        </w:rPr>
        <w:t>means the same as defined in Section 45F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child care facility” </w:t>
      </w:r>
      <w:r>
        <w:rPr>
          <w:rFonts w:ascii="Times New Roman" w:hAnsi="Times New Roman"/>
          <w:b w:val="false"/>
          <w:i w:val="false"/>
          <w:color w:val="000000"/>
          <w:sz w:val="22"/>
        </w:rPr>
        <w:t>means the same as defined in Section 45F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child care resource and referral expenditure” </w:t>
      </w:r>
      <w:r>
        <w:rPr>
          <w:rFonts w:ascii="Times New Roman" w:hAnsi="Times New Roman"/>
          <w:b w:val="false"/>
          <w:i w:val="false"/>
          <w:color w:val="000000"/>
          <w:sz w:val="22"/>
        </w:rPr>
        <w:t>means the same as defined in Section 45F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“Tax credit” </w:t>
      </w:r>
      <w:r>
        <w:rPr>
          <w:rFonts w:ascii="Times New Roman" w:hAnsi="Times New Roman"/>
          <w:b w:val="false"/>
          <w:i w:val="false"/>
          <w:color w:val="000000"/>
          <w:sz w:val="22"/>
        </w:rPr>
        <w:t xml:space="preserve">means the amount a taxpayer may claim against the taxes imposed in Iowa Code chapter </w:t>
      </w:r>
      <w:hyperlink r:id="rId6">
        <w:r>
          <w:rPr>
            <w:rStyle w:val="Hyperlink"/>
            <w:rFonts w:ascii="Times New Roman" w:hAnsi="Times New Roman"/>
            <w:b w:val="false"/>
            <w:i w:val="false"/>
            <w:color w:val="000000"/>
            <w:sz w:val="22"/>
          </w:rPr>
          <w:t>422,</w:t>
        </w:r>
      </w:hyperlink>
      <w:r>
        <w:rPr>
          <w:rFonts w:ascii="Times New Roman" w:hAnsi="Times New Roman"/>
          <w:b w:val="false"/>
          <w:i w:val="false"/>
          <w:color w:val="000000"/>
          <w:sz w:val="22"/>
        </w:rPr>
        <w:t xml:space="preserve"> subchapters II, III, and V, and in Iowa Code chapter </w:t>
      </w:r>
      <w:hyperlink r:id="rId7">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and against the moneys and credits tax imposed in Iowa Code section </w:t>
      </w:r>
      <w:hyperlink r:id="rId8">
        <w:r>
          <w:rPr>
            <w:rStyle w:val="Hyperlink"/>
            <w:rFonts w:ascii="Times New Roman" w:hAnsi="Times New Roman"/>
            <w:b w:val="false"/>
            <w:i w:val="false"/>
            <w:color w:val="000000"/>
            <w:sz w:val="22"/>
          </w:rPr>
          <w:t>533.329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7057C</w:t>
      </w:r>
      <w:r>
        <w:rPr>
          <w:rFonts w:ascii="Times New Roman" w:hAnsi="Times New Roman"/>
          <w:b w:val="false"/>
          <w:i w:val="false"/>
          <w:color w:val="000000"/>
          <w:sz w:val="16"/>
        </w:rPr>
        <w:t>, IAB 8/9/23, effective 9/13/23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261—57.2</w:t>
      </w:r>
      <w:r>
        <w:rPr>
          <w:rFonts w:ascii="Times New Roman" w:hAnsi="Times New Roman"/>
          <w:b/>
          <w:i w:val="false"/>
          <w:color w:val="000000"/>
          <w:sz w:val="22"/>
        </w:rPr>
        <w:t xml:space="preserve">(237A) </w:t>
      </w:r>
      <w:r>
        <w:rPr>
          <w:rFonts w:ascii="Times New Roman" w:hAnsi="Times New Roman"/>
          <w:b/>
          <w:i w:val="false"/>
          <w:color w:val="000000"/>
          <w:sz w:val="22"/>
        </w:rPr>
        <w:t xml:space="preserve">Authorization of tax credits.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57.2(1)</w:t>
      </w:r>
      <w:r>
        <w:rPr>
          <w:rFonts w:ascii="Times New Roman" w:hAnsi="Times New Roman"/>
          <w:b w:val="false"/>
          <w:i w:val="false"/>
          <w:color w:val="000000"/>
          <w:sz w:val="22"/>
        </w:rPr>
        <w:t> </w:t>
      </w:r>
      <w:r>
        <w:rPr>
          <w:rFonts w:ascii="Times New Roman" w:hAnsi="Times New Roman"/>
          <w:b w:val="false"/>
          <w:i w:val="false"/>
          <w:color w:val="000000"/>
          <w:sz w:val="22"/>
        </w:rPr>
        <w:t xml:space="preserve">An employer child care tax credit is authorized pursuant to Iowa Code section </w:t>
      </w:r>
      <w:hyperlink r:id="rId9">
        <w:r>
          <w:rPr>
            <w:rStyle w:val="Hyperlink"/>
            <w:rFonts w:ascii="Times New Roman" w:hAnsi="Times New Roman"/>
            <w:b w:val="false"/>
            <w:i w:val="false"/>
            <w:color w:val="000000"/>
            <w:sz w:val="22"/>
          </w:rPr>
          <w:t>237A.31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181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57.2(2)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proportion of a taxpayer’s federal credit attributable to expenditures made in Iowa equals the ratio that the sum of the amount described in paragraph </w:t>
      </w:r>
      <w:hyperlink r:id="rId10">
        <w:r>
          <w:rPr>
            <w:rStyle w:val="Hyperlink"/>
            <w:rFonts w:ascii="Times New Roman" w:hAnsi="Times New Roman"/>
            <w:b w:val="false"/>
            <w:i w:val="false"/>
            <w:color w:val="000000"/>
            <w:sz w:val="22"/>
          </w:rPr>
          <w:t>57.2(2)</w:t>
        </w:r>
        <w:r>
          <w:rPr>
            <w:rFonts w:ascii="Times New Roman" w:hAnsi="Times New Roman"/>
            <w:b w:val="false"/>
            <w:i/>
            <w:color w:val="000000"/>
            <w:sz w:val="22"/>
          </w:rPr>
          <w:t>“a”</w:t>
        </w:r>
      </w:hyperlink>
      <w:r>
        <w:rPr>
          <w:rFonts w:ascii="Times New Roman" w:hAnsi="Times New Roman"/>
          <w:b w:val="false"/>
          <w:i w:val="false"/>
          <w:color w:val="000000"/>
          <w:sz w:val="22"/>
        </w:rPr>
        <w:t xml:space="preserve"> bears to the sum total of the amount described in paragraph </w:t>
      </w:r>
      <w:hyperlink r:id="rId11">
        <w:r>
          <w:rPr>
            <w:rStyle w:val="Hyperlink"/>
            <w:rFonts w:ascii="Times New Roman" w:hAnsi="Times New Roman"/>
            <w:b w:val="false"/>
            <w:i w:val="false"/>
            <w:color w:val="000000"/>
            <w:sz w:val="22"/>
          </w:rPr>
          <w:t>57.2(2)</w:t>
        </w:r>
        <w:r>
          <w:rPr>
            <w:rFonts w:ascii="Times New Roman" w:hAnsi="Times New Roman"/>
            <w:b w:val="false"/>
            <w:i/>
            <w:color w:val="000000"/>
            <w:sz w:val="22"/>
          </w:rPr>
          <w:t>“b.”</w:t>
        </w:r>
      </w:hyperlink>
      <w:r>
        <w:rPr>
          <w:rFonts w:ascii="Times New Roman" w:hAnsi="Times New Roman"/>
          <w:b w:val="false"/>
          <w:i w:val="false"/>
          <w:color w:val="000000"/>
          <w:sz w:val="22"/>
        </w:rPr>
        <w:t xml:space="preserve"> The ratio shall be expressed as a percentage rounded to the nearest hundredth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qualified child care expenditures paid or incurred with respect to a qualified child care facility in Iowa, plus qualified child care resource and referral expenditures paid or incurred with respect to Iowa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qualified child care expenditures and qualified child care resource and referral expenditures.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7057C</w:t>
      </w:r>
      <w:r>
        <w:rPr>
          <w:rFonts w:ascii="Times New Roman" w:hAnsi="Times New Roman"/>
          <w:b w:val="false"/>
          <w:i w:val="false"/>
          <w:color w:val="000000"/>
          <w:sz w:val="16"/>
        </w:rPr>
        <w:t>, IAB 8/9/23, effective 9/13/23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261—57.3</w:t>
      </w:r>
      <w:r>
        <w:rPr>
          <w:rFonts w:ascii="Times New Roman" w:hAnsi="Times New Roman"/>
          <w:b/>
          <w:i w:val="false"/>
          <w:color w:val="000000"/>
          <w:sz w:val="22"/>
        </w:rPr>
        <w:t xml:space="preserve">(237A) </w:t>
      </w:r>
      <w:r>
        <w:rPr>
          <w:rFonts w:ascii="Times New Roman" w:hAnsi="Times New Roman"/>
          <w:b/>
          <w:i w:val="false"/>
          <w:color w:val="000000"/>
          <w:sz w:val="22"/>
        </w:rPr>
        <w:t xml:space="preserve">Application and issuance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will develop a standardized application pertaining to the authorization and distribution of tax credits. The application will request information relating to the taxpayer’s eligibility for the federal credit, the proportion of the federal credit attributable to expenditures made by the taxpayer in Iowa as calculated pursuant to subrule </w:t>
      </w:r>
      <w:hyperlink r:id="rId12">
        <w:r>
          <w:rPr>
            <w:rStyle w:val="Hyperlink"/>
            <w:rFonts w:ascii="Times New Roman" w:hAnsi="Times New Roman"/>
            <w:b w:val="false"/>
            <w:i w:val="false"/>
            <w:color w:val="000000"/>
            <w:sz w:val="22"/>
          </w:rPr>
          <w:t>57.2(2)</w:t>
        </w:r>
      </w:hyperlink>
      <w:r>
        <w:rPr>
          <w:rFonts w:ascii="Times New Roman" w:hAnsi="Times New Roman"/>
          <w:b w:val="false"/>
          <w:i w:val="false"/>
          <w:color w:val="000000"/>
          <w:sz w:val="22"/>
        </w:rPr>
        <w:t xml:space="preserve">, and any other information required by the authority. The certified public accountant (CPA) examination conducted pursuant to rule </w:t>
      </w:r>
      <w:hyperlink r:id="rId13">
        <w:r>
          <w:rPr>
            <w:rStyle w:val="Hyperlink"/>
            <w:rFonts w:ascii="Times New Roman" w:hAnsi="Times New Roman"/>
            <w:b w:val="false"/>
            <w:i w:val="false"/>
            <w:color w:val="000000"/>
            <w:sz w:val="22"/>
          </w:rPr>
          <w:t>261—57.4(237A)</w:t>
        </w:r>
      </w:hyperlink>
      <w:r>
        <w:rPr>
          <w:rFonts w:ascii="Times New Roman" w:hAnsi="Times New Roman"/>
          <w:b w:val="false"/>
          <w:i w:val="false"/>
          <w:color w:val="000000"/>
          <w:sz w:val="22"/>
        </w:rPr>
        <w:t xml:space="preserve"> shall be submitted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w:t>
      </w:r>
      <w:r>
        <w:rPr>
          <w:rFonts w:ascii="Times New Roman" w:hAnsi="Times New Roman"/>
          <w:b w:val="false"/>
          <w:i w:val="false"/>
          <w:color w:val="000000"/>
          <w:sz w:val="22"/>
        </w:rPr>
        <w:t> </w:t>
      </w:r>
      <w:r>
        <w:rPr>
          <w:rFonts w:ascii="Times New Roman" w:hAnsi="Times New Roman"/>
          <w:b w:val="false"/>
          <w:i w:val="false"/>
          <w:color w:val="000000"/>
          <w:sz w:val="22"/>
        </w:rPr>
        <w:t>A taxpayer shall submit an application for the credit within 90 calendar days of the end of the tax year during which qualified child care expenditures and qualified child care resource and referral expenditures are paid or incurred.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authority shall issue tax credit certificates in the order the applications are determined complete and qualified until the maximum aggregate amount of tax credits that may be authorized pursuant to Iowa Code section </w:t>
      </w:r>
      <w:hyperlink r:id="rId14">
        <w:r>
          <w:rPr>
            <w:rStyle w:val="Hyperlink"/>
            <w:rFonts w:ascii="Times New Roman" w:hAnsi="Times New Roman"/>
            <w:b w:val="false"/>
            <w:i w:val="false"/>
            <w:color w:val="000000"/>
            <w:sz w:val="22"/>
          </w:rPr>
          <w:t>237A.31(3)</w:t>
        </w:r>
        <w:r>
          <w:rPr>
            <w:rFonts w:ascii="Times New Roman" w:hAnsi="Times New Roman"/>
            <w:b w:val="false"/>
            <w:i/>
            <w:color w:val="000000"/>
            <w:sz w:val="22"/>
          </w:rPr>
          <w:t>“a”</w:t>
        </w:r>
      </w:hyperlink>
      <w:r>
        <w:rPr>
          <w:rFonts w:ascii="Times New Roman" w:hAnsi="Times New Roman"/>
          <w:b w:val="false"/>
          <w:i w:val="false"/>
          <w:color w:val="000000"/>
          <w:sz w:val="22"/>
        </w:rPr>
        <w:t xml:space="preserve"> is reached. Applications for tax credits received in excess of the maximum aggregate amount of tax credits available each fiscal year will be denied by the authority. An application that can be partially approved without exceeding the maximum aggregate amount of tax credits may be approved as to the portion less than the maximum amount and denied as to the portion greater than the maximum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57.3(4)</w:t>
      </w:r>
      <w:r>
        <w:rPr>
          <w:rFonts w:ascii="Times New Roman" w:hAnsi="Times New Roman"/>
          <w:b w:val="false"/>
          <w:i w:val="false"/>
          <w:color w:val="000000"/>
          <w:sz w:val="22"/>
        </w:rPr>
        <w:t> </w:t>
      </w:r>
      <w:r>
        <w:rPr>
          <w:rFonts w:ascii="Times New Roman" w:hAnsi="Times New Roman"/>
          <w:b w:val="false"/>
          <w:i w:val="false"/>
          <w:color w:val="000000"/>
          <w:sz w:val="22"/>
        </w:rPr>
        <w:t>The authority will issue a tax credit certificate to an approved taxpayer in an amount that represents the maximum amount of tax credit the taxpayer may claim. To receive the tax credit, the taxpayer shall file a claim with the department in accordance with any applicable administrative rules adopted by the department. An approved taxpayer’s tax credit may be subject to reduction in such circumstances described by any applicable rules adopted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7057C</w:t>
      </w:r>
      <w:r>
        <w:rPr>
          <w:rFonts w:ascii="Times New Roman" w:hAnsi="Times New Roman"/>
          <w:b w:val="false"/>
          <w:i w:val="false"/>
          <w:color w:val="000000"/>
          <w:sz w:val="16"/>
        </w:rPr>
        <w:t>, IAB 8/9/23, effective 9/13/23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261—57.4</w:t>
      </w:r>
      <w:r>
        <w:rPr>
          <w:rFonts w:ascii="Times New Roman" w:hAnsi="Times New Roman"/>
          <w:b/>
          <w:i w:val="false"/>
          <w:color w:val="000000"/>
          <w:sz w:val="22"/>
        </w:rPr>
        <w:t xml:space="preserve">(237A) </w:t>
      </w:r>
      <w:r>
        <w:rPr>
          <w:rFonts w:ascii="Times New Roman" w:hAnsi="Times New Roman"/>
          <w:b/>
          <w:i w:val="false"/>
          <w:color w:val="000000"/>
          <w:sz w:val="22"/>
        </w:rPr>
        <w:t xml:space="preserve">CPA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57.4(1)</w:t>
      </w:r>
      <w:r>
        <w:rPr>
          <w:rFonts w:ascii="Times New Roman" w:hAnsi="Times New Roman"/>
          <w:b w:val="false"/>
          <w:i w:val="false"/>
          <w:color w:val="000000"/>
          <w:sz w:val="22"/>
        </w:rPr>
        <w:t> </w:t>
      </w:r>
      <w:r>
        <w:rPr>
          <w:rFonts w:ascii="Times New Roman" w:hAnsi="Times New Roman"/>
          <w:b w:val="false"/>
          <w:i w:val="false"/>
          <w:color w:val="000000"/>
          <w:sz w:val="22"/>
        </w:rPr>
        <w:t>A taxpayer shall engage a certified public accountant authorized to practice in this state to conduct an examination of the taxpayer’s qualified child care expenditures and qualified child care resource and referral expenditures in accordance with the American Institute of Certified Public Accountants’ statements on standards for attestation engagements. The attestation applicable to this examination is SSAE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10 (as amended by SSAE Nos.</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11, 12, 14), AT section 101 and AT section 601.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procedures used by the CPA to conduct the examination should allow the CPA to conclude that, in the CPA’s professional judgment, the qualified child care expenditures paid or incurred with respect to a qualified child care facility in Iowa and qualified child care resources and referral expenditures paid or incurred with respect to Iowa employees are eligible for a tax credit pursuant to Iowa Code section </w:t>
      </w:r>
      <w:hyperlink r:id="rId15">
        <w:r>
          <w:rPr>
            <w:rStyle w:val="Hyperlink"/>
            <w:rFonts w:ascii="Times New Roman" w:hAnsi="Times New Roman"/>
            <w:b w:val="false"/>
            <w:i w:val="false"/>
            <w:color w:val="000000"/>
            <w:sz w:val="22"/>
          </w:rPr>
          <w:t>237A.31 </w:t>
        </w:r>
      </w:hyperlink>
      <w:r>
        <w:rPr>
          <w:rFonts w:ascii="Times New Roman" w:hAnsi="Times New Roman"/>
          <w:b w:val="false"/>
          <w:i w:val="false"/>
          <w:color w:val="000000"/>
          <w:sz w:val="22"/>
        </w:rPr>
        <w:t>and all rules adopted by the authority and by the department pursuant to Iowa Code section</w:t>
      </w:r>
      <w:hyperlink r:id="rId16">
        <w:r>
          <w:rPr>
            <w:rStyle w:val="Hyperlink"/>
            <w:rFonts w:ascii="Times New Roman" w:hAnsi="Times New Roman"/>
            <w:b w:val="false"/>
            <w:i w:val="false"/>
            <w:color w:val="000000"/>
            <w:sz w:val="22"/>
          </w:rPr>
          <w:t> 237A.31</w:t>
        </w:r>
      </w:hyperlink>
      <w:r>
        <w:rPr>
          <w:rFonts w:ascii="Times New Roman" w:hAnsi="Times New Roman"/>
          <w:b w:val="false"/>
          <w:i w:val="false"/>
          <w:color w:val="000000"/>
          <w:sz w:val="22"/>
        </w:rPr>
        <w:t xml:space="preserve"> in all material respects. The documents reviewed by the CPA shall be provided to the authority upon request. The authority may deny a tax credit application if such documents are requested and are not provided to the authority within 60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7057C</w:t>
      </w:r>
      <w:r>
        <w:rPr>
          <w:rFonts w:ascii="Times New Roman" w:hAnsi="Times New Roman"/>
          <w:b w:val="false"/>
          <w:i w:val="false"/>
          <w:color w:val="000000"/>
          <w:sz w:val="16"/>
        </w:rPr>
        <w:t>, IAB 8/9/23, effective 9/13/23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These rules are intended to implement Iowa Code section</w:t>
      </w:r>
      <w:hyperlink r:id="rId17">
        <w:r>
          <w:rPr>
            <w:rStyle w:val="Hyperlink"/>
            <w:rFonts w:ascii="Times New Roman" w:hAnsi="Times New Roman"/>
            <w:b w:val="false"/>
            <w:i w:val="false"/>
            <w:color w:val="000000"/>
            <w:sz w:val="22"/>
          </w:rPr>
          <w:t> 237A.31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2023 Iowa Acts, Senate File 181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7057C</w:t>
      </w:r>
      <w:r>
        <w:rPr>
          <w:rFonts w:ascii="Times New Roman" w:hAnsi="Times New Roman"/>
          <w:b w:val="false"/>
          <w:i w:val="false"/>
          <w:color w:val="000000"/>
          <w:sz w:val="21"/>
        </w:rPr>
        <w:t xml:space="preserve"> (Notice ARC 7039C, IAB 6/14/23)</w:t>
      </w:r>
      <w:r>
        <w:rPr>
          <w:rFonts w:ascii="Times New Roman" w:hAnsi="Times New Roman"/>
          <w:b w:val="false"/>
          <w:i w:val="false"/>
          <w:color w:val="000000"/>
          <w:sz w:val="21"/>
        </w:rPr>
        <w:t>, IAB 8/9/23, effective 9/13/23]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422.pdf" Type="http://schemas.openxmlformats.org/officeDocument/2006/relationships/hyperlink" Id="rId6"/>
    <Relationship TargetMode="External" Target="https://www.legis.iowa.gov/docs/ico/chapter/432.pdf" Type="http://schemas.openxmlformats.org/officeDocument/2006/relationships/hyperlink" Id="rId7"/>
    <Relationship TargetMode="External" Target="https://www.legis.iowa.gov/docs/ico/chapter/533.329.pdf" Type="http://schemas.openxmlformats.org/officeDocument/2006/relationships/hyperlink" Id="rId8"/>
    <Relationship TargetMode="External" Target="https://www.legis.iowa.gov/docs/ico/chapter/237A.31.pdf" Type="http://schemas.openxmlformats.org/officeDocument/2006/relationships/hyperlink" Id="rId9"/>
    <Relationship TargetMode="External" Target="https://www.legis.iowa.gov/docs/iac/rule/261.57.2.pdf" Type="http://schemas.openxmlformats.org/officeDocument/2006/relationships/hyperlink" Id="rId10"/>
    <Relationship TargetMode="External" Target="https://www.legis.iowa.gov/docs/iac/rule/261.57.2.pdf" Type="http://schemas.openxmlformats.org/officeDocument/2006/relationships/hyperlink" Id="rId11"/>
    <Relationship TargetMode="External" Target="https://www.legis.iowa.gov/docs/iac/rule/261.57.2.pdf" Type="http://schemas.openxmlformats.org/officeDocument/2006/relationships/hyperlink" Id="rId12"/>
    <Relationship TargetMode="External" Target="https://www.legis.iowa.gov/docs/iac/rule/261.57.4.pdf" Type="http://schemas.openxmlformats.org/officeDocument/2006/relationships/hyperlink" Id="rId13"/>
    <Relationship TargetMode="External" Target="https://www.legis.iowa.gov/docs/ico/chapter/237A.31.pdf" Type="http://schemas.openxmlformats.org/officeDocument/2006/relationships/hyperlink" Id="rId14"/>
    <Relationship TargetMode="External" Target="https://www.legis.iowa.gov/docs/ico/chapter/237A.31.pdf" Type="http://schemas.openxmlformats.org/officeDocument/2006/relationships/hyperlink" Id="rId15"/>
    <Relationship TargetMode="External" Target="https://www.legis.iowa.gov/docs/ico/chapter/237A.31.pdf" Type="http://schemas.openxmlformats.org/officeDocument/2006/relationships/hyperlink" Id="rId16"/>
    <Relationship TargetMode="External" Target="https://www.legis.iowa.gov/docs/ico/chapter/237A.31.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